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514CA" w14:textId="77777777" w:rsidR="009B31CA" w:rsidRDefault="009B31CA">
      <w:pPr>
        <w:pStyle w:val="Text"/>
        <w:ind w:firstLine="0"/>
        <w:rPr>
          <w:sz w:val="2"/>
          <w:szCs w:val="18"/>
        </w:rPr>
      </w:pPr>
    </w:p>
    <w:p w14:paraId="776B2D92" w14:textId="77777777" w:rsidR="00F540A6" w:rsidRPr="00D00037" w:rsidRDefault="00F540A6">
      <w:pPr>
        <w:pStyle w:val="Text"/>
        <w:ind w:firstLine="0"/>
        <w:rPr>
          <w:sz w:val="2"/>
          <w:szCs w:val="18"/>
        </w:rPr>
      </w:pPr>
      <w:r w:rsidRPr="00D00037">
        <w:rPr>
          <w:sz w:val="2"/>
          <w:szCs w:val="18"/>
        </w:rPr>
        <w:footnoteReference w:customMarkFollows="1" w:id="1"/>
        <w:sym w:font="Symbol" w:char="F020"/>
      </w:r>
    </w:p>
    <w:p w14:paraId="65C02FF9" w14:textId="77777777" w:rsidR="00F540A6" w:rsidRPr="00BB474F" w:rsidRDefault="004B2915" w:rsidP="00312677">
      <w:pPr>
        <w:pStyle w:val="Ttulo"/>
        <w:framePr w:w="10206" w:wrap="notBeside"/>
        <w:spacing w:before="0"/>
        <w:rPr>
          <w:b w:val="0"/>
          <w:sz w:val="48"/>
          <w:szCs w:val="46"/>
          <w:lang w:val="es-ES_tradnl"/>
        </w:rPr>
      </w:pPr>
      <w:r w:rsidRPr="004B2915">
        <w:rPr>
          <w:b w:val="0"/>
          <w:sz w:val="48"/>
          <w:szCs w:val="46"/>
          <w:lang w:val="es-ES_tradnl"/>
        </w:rPr>
        <w:t>Inflamación y conducta inducidas por la administración intraperitoneal de lipopolisacárido en un modelo murino</w:t>
      </w:r>
    </w:p>
    <w:p w14:paraId="18FD6011" w14:textId="77777777" w:rsidR="00F540A6" w:rsidRPr="00823908" w:rsidRDefault="004B2915">
      <w:pPr>
        <w:pStyle w:val="Authors"/>
        <w:framePr w:wrap="notBeside"/>
        <w:rPr>
          <w:sz w:val="20"/>
          <w:lang w:val="es-MX"/>
        </w:rPr>
      </w:pPr>
      <w:r w:rsidRPr="00823908">
        <w:rPr>
          <w:sz w:val="20"/>
          <w:lang w:val="es-MX"/>
        </w:rPr>
        <w:t>Tapia-Sansores M.</w:t>
      </w:r>
      <w:r w:rsidR="00FD405A" w:rsidRPr="00823908">
        <w:rPr>
          <w:sz w:val="20"/>
          <w:vertAlign w:val="superscript"/>
          <w:lang w:val="es-MX"/>
        </w:rPr>
        <w:t>1</w:t>
      </w:r>
      <w:r w:rsidRPr="00823908">
        <w:rPr>
          <w:sz w:val="20"/>
          <w:lang w:val="es-MX"/>
        </w:rPr>
        <w:t>, Reséndiz-Meléndez I. I.</w:t>
      </w:r>
      <w:r w:rsidR="00FD405A" w:rsidRPr="00823908">
        <w:rPr>
          <w:sz w:val="20"/>
          <w:vertAlign w:val="superscript"/>
          <w:lang w:val="es-MX"/>
        </w:rPr>
        <w:t>1</w:t>
      </w:r>
      <w:r w:rsidRPr="00823908">
        <w:rPr>
          <w:sz w:val="20"/>
          <w:lang w:val="es-MX"/>
        </w:rPr>
        <w:t>, Munguía-Contreras M.</w:t>
      </w:r>
      <w:r w:rsidR="00A60E5B" w:rsidRPr="00823908">
        <w:rPr>
          <w:sz w:val="20"/>
          <w:lang w:val="es-MX"/>
        </w:rPr>
        <w:t xml:space="preserve"> A</w:t>
      </w:r>
      <w:r w:rsidR="00FD405A" w:rsidRPr="00823908">
        <w:rPr>
          <w:sz w:val="20"/>
          <w:lang w:val="es-MX"/>
        </w:rPr>
        <w:t>.</w:t>
      </w:r>
      <w:r w:rsidR="00FD405A" w:rsidRPr="00823908">
        <w:rPr>
          <w:sz w:val="20"/>
          <w:vertAlign w:val="superscript"/>
          <w:lang w:val="es-MX"/>
        </w:rPr>
        <w:t>2</w:t>
      </w:r>
      <w:r w:rsidRPr="00823908">
        <w:rPr>
          <w:sz w:val="20"/>
          <w:lang w:val="es-MX"/>
        </w:rPr>
        <w:t>, Morán-Alvarado H.</w:t>
      </w:r>
      <w:r w:rsidR="00FD405A" w:rsidRPr="00823908">
        <w:rPr>
          <w:sz w:val="20"/>
          <w:vertAlign w:val="superscript"/>
          <w:lang w:val="es-MX"/>
        </w:rPr>
        <w:t>2</w:t>
      </w:r>
      <w:r w:rsidR="00BB474F" w:rsidRPr="00823908">
        <w:rPr>
          <w:sz w:val="20"/>
          <w:lang w:val="es-MX"/>
        </w:rPr>
        <w:t>, Del Moral-Díez J. J.</w:t>
      </w:r>
      <w:r w:rsidR="00FD405A" w:rsidRPr="00823908">
        <w:rPr>
          <w:sz w:val="20"/>
          <w:vertAlign w:val="superscript"/>
          <w:lang w:val="es-MX"/>
        </w:rPr>
        <w:t>3</w:t>
      </w:r>
      <w:r w:rsidRPr="00823908">
        <w:rPr>
          <w:sz w:val="20"/>
          <w:lang w:val="es-MX"/>
        </w:rPr>
        <w:t xml:space="preserve"> </w:t>
      </w:r>
    </w:p>
    <w:p w14:paraId="4B5B2246" w14:textId="6521063B" w:rsidR="00BB474F" w:rsidRPr="00CC5528" w:rsidRDefault="00BB474F" w:rsidP="00BB474F">
      <w:pPr>
        <w:pStyle w:val="Abstract"/>
        <w:ind w:firstLine="0"/>
        <w:rPr>
          <w:lang w:val="es-MX"/>
        </w:rPr>
      </w:pPr>
      <w:bookmarkStart w:id="0" w:name="_Ref314492014"/>
      <w:r>
        <w:rPr>
          <w:i/>
          <w:iCs/>
          <w:lang w:val="es-MX"/>
        </w:rPr>
        <w:t>R</w:t>
      </w:r>
      <w:r w:rsidRPr="00CC5528">
        <w:rPr>
          <w:i/>
          <w:iCs/>
          <w:lang w:val="es-MX"/>
        </w:rPr>
        <w:t>esumen</w:t>
      </w:r>
      <w:r>
        <w:rPr>
          <w:i/>
          <w:iCs/>
          <w:lang w:val="es-MX"/>
        </w:rPr>
        <w:t xml:space="preserve">. </w:t>
      </w:r>
      <w:r>
        <w:rPr>
          <w:lang w:val="es-MX"/>
        </w:rPr>
        <w:t>La s</w:t>
      </w:r>
      <w:r w:rsidRPr="00936E6C">
        <w:rPr>
          <w:lang w:val="es-MX"/>
        </w:rPr>
        <w:t>epsis es una respuesta inflamatoria sistémica a</w:t>
      </w:r>
      <w:r>
        <w:rPr>
          <w:lang w:val="es-MX"/>
        </w:rPr>
        <w:t xml:space="preserve">sociada a un agente infeccioso. </w:t>
      </w:r>
      <w:r w:rsidRPr="00936E6C">
        <w:rPr>
          <w:lang w:val="es-MX"/>
        </w:rPr>
        <w:t>Representa hast</w:t>
      </w:r>
      <w:r>
        <w:rPr>
          <w:lang w:val="es-MX"/>
        </w:rPr>
        <w:t>a el 50% de los ingresos a las u</w:t>
      </w:r>
      <w:r w:rsidRPr="00936E6C">
        <w:rPr>
          <w:lang w:val="es-MX"/>
        </w:rPr>
        <w:t>ni</w:t>
      </w:r>
      <w:r w:rsidR="00BE44E7">
        <w:rPr>
          <w:lang w:val="es-MX"/>
        </w:rPr>
        <w:t>dades de terapia intensiva</w:t>
      </w:r>
      <w:r>
        <w:rPr>
          <w:lang w:val="es-MX"/>
        </w:rPr>
        <w:t xml:space="preserve"> </w:t>
      </w:r>
      <w:r w:rsidRPr="00936E6C">
        <w:rPr>
          <w:lang w:val="es-MX"/>
        </w:rPr>
        <w:t>y constituye un importante problema de salud pública.</w:t>
      </w:r>
      <w:r>
        <w:rPr>
          <w:lang w:val="es-MX"/>
        </w:rPr>
        <w:t xml:space="preserve"> Las bacterias gram-</w:t>
      </w:r>
      <w:r w:rsidRPr="00936E6C">
        <w:rPr>
          <w:lang w:val="es-MX"/>
        </w:rPr>
        <w:t>negativas</w:t>
      </w:r>
      <w:r w:rsidR="0021761B">
        <w:rPr>
          <w:lang w:val="es-MX"/>
        </w:rPr>
        <w:t xml:space="preserve"> son una frecuente causa de sepsis;</w:t>
      </w:r>
      <w:r w:rsidRPr="00936E6C">
        <w:rPr>
          <w:lang w:val="es-MX"/>
        </w:rPr>
        <w:t xml:space="preserve"> poseen</w:t>
      </w:r>
      <w:r>
        <w:rPr>
          <w:lang w:val="es-MX"/>
        </w:rPr>
        <w:t xml:space="preserve"> una endotoxina llamada l</w:t>
      </w:r>
      <w:r w:rsidRPr="00936E6C">
        <w:rPr>
          <w:lang w:val="es-MX"/>
        </w:rPr>
        <w:t>ipopolisacárido la cual es un potente inductor de la respuesta inflamatoria, y por lo tanto</w:t>
      </w:r>
      <w:r>
        <w:rPr>
          <w:lang w:val="es-MX"/>
        </w:rPr>
        <w:t xml:space="preserve"> </w:t>
      </w:r>
      <w:r w:rsidRPr="00936E6C">
        <w:rPr>
          <w:lang w:val="es-MX"/>
        </w:rPr>
        <w:t>permite observar la activación de células de la respuesta inmune, así como la</w:t>
      </w:r>
      <w:r>
        <w:rPr>
          <w:lang w:val="es-MX"/>
        </w:rPr>
        <w:t xml:space="preserve"> </w:t>
      </w:r>
      <w:r w:rsidRPr="00936E6C">
        <w:rPr>
          <w:lang w:val="es-MX"/>
        </w:rPr>
        <w:t>liberación de citocinas proinflamatorias.</w:t>
      </w:r>
      <w:r>
        <w:rPr>
          <w:lang w:val="es-MX"/>
        </w:rPr>
        <w:t xml:space="preserve"> </w:t>
      </w:r>
      <w:r w:rsidR="007C3B61" w:rsidRPr="00A548D4">
        <w:rPr>
          <w:highlight w:val="yellow"/>
          <w:lang w:val="es-MX"/>
        </w:rPr>
        <w:t xml:space="preserve">Materiales y </w:t>
      </w:r>
      <w:r w:rsidR="00F453BF" w:rsidRPr="00A548D4">
        <w:rPr>
          <w:i/>
          <w:highlight w:val="yellow"/>
          <w:lang w:val="es-MX"/>
        </w:rPr>
        <w:t>Método</w:t>
      </w:r>
      <w:r w:rsidR="007C3B61" w:rsidRPr="00A548D4">
        <w:rPr>
          <w:i/>
          <w:highlight w:val="yellow"/>
          <w:lang w:val="es-MX"/>
        </w:rPr>
        <w:t>s</w:t>
      </w:r>
      <w:r w:rsidR="00EB760D" w:rsidRPr="00A548D4">
        <w:rPr>
          <w:i/>
          <w:highlight w:val="yellow"/>
          <w:lang w:val="es-MX"/>
        </w:rPr>
        <w:t xml:space="preserve">: </w:t>
      </w:r>
      <w:r w:rsidR="00BE44E7" w:rsidRPr="00A548D4">
        <w:rPr>
          <w:highlight w:val="yellow"/>
          <w:lang w:val="es-MX"/>
        </w:rPr>
        <w:t xml:space="preserve">se utilizaron </w:t>
      </w:r>
      <w:r w:rsidR="00EB760D" w:rsidRPr="00A548D4">
        <w:rPr>
          <w:highlight w:val="yellow"/>
          <w:lang w:val="es-MX"/>
        </w:rPr>
        <w:t>ratones machos</w:t>
      </w:r>
      <w:r w:rsidR="00F453BF" w:rsidRPr="00A548D4">
        <w:rPr>
          <w:highlight w:val="yellow"/>
          <w:lang w:val="es-MX"/>
        </w:rPr>
        <w:t xml:space="preserve"> CD1 que</w:t>
      </w:r>
      <w:r w:rsidR="00BE44E7" w:rsidRPr="00A548D4">
        <w:rPr>
          <w:highlight w:val="yellow"/>
          <w:lang w:val="es-MX"/>
        </w:rPr>
        <w:t xml:space="preserve"> recibieron</w:t>
      </w:r>
      <w:r w:rsidR="00EB760D" w:rsidRPr="00A548D4">
        <w:rPr>
          <w:highlight w:val="yellow"/>
          <w:lang w:val="es-MX"/>
        </w:rPr>
        <w:t xml:space="preserve"> inoculación intraperitoneal de </w:t>
      </w:r>
      <w:r w:rsidR="007C3B61" w:rsidRPr="00A548D4">
        <w:rPr>
          <w:highlight w:val="yellow"/>
          <w:lang w:val="es-MX"/>
        </w:rPr>
        <w:t xml:space="preserve">lipopolisacárido </w:t>
      </w:r>
      <w:r w:rsidR="00EB760D" w:rsidRPr="00A548D4">
        <w:rPr>
          <w:highlight w:val="yellow"/>
          <w:lang w:val="es-MX"/>
        </w:rPr>
        <w:t>(n=8), solución salina isotónica (n=9)</w:t>
      </w:r>
      <w:r w:rsidR="007C3B61" w:rsidRPr="00A548D4">
        <w:rPr>
          <w:highlight w:val="yellow"/>
          <w:lang w:val="es-MX"/>
        </w:rPr>
        <w:t xml:space="preserve"> o no recibieron tratamiento</w:t>
      </w:r>
      <w:r w:rsidR="00923FBF" w:rsidRPr="00A548D4">
        <w:rPr>
          <w:highlight w:val="yellow"/>
          <w:lang w:val="es-MX"/>
        </w:rPr>
        <w:t xml:space="preserve"> (n=8). S</w:t>
      </w:r>
      <w:r w:rsidRPr="00A548D4">
        <w:rPr>
          <w:highlight w:val="yellow"/>
          <w:lang w:val="es-MX"/>
        </w:rPr>
        <w:t>e evaluaro</w:t>
      </w:r>
      <w:r w:rsidR="0010761B" w:rsidRPr="00A548D4">
        <w:rPr>
          <w:highlight w:val="yellow"/>
          <w:lang w:val="es-MX"/>
        </w:rPr>
        <w:t>n variables de actividad conductual</w:t>
      </w:r>
      <w:r w:rsidR="00AD0A7A" w:rsidRPr="00A548D4">
        <w:rPr>
          <w:highlight w:val="yellow"/>
          <w:lang w:val="es-MX"/>
        </w:rPr>
        <w:t>; concentración de las citocinas TNFα, IL-1β e IL-6</w:t>
      </w:r>
      <w:r w:rsidRPr="00A548D4">
        <w:rPr>
          <w:highlight w:val="yellow"/>
          <w:lang w:val="es-MX"/>
        </w:rPr>
        <w:t xml:space="preserve"> en </w:t>
      </w:r>
      <w:r w:rsidR="00175954" w:rsidRPr="00A548D4">
        <w:rPr>
          <w:highlight w:val="yellow"/>
          <w:lang w:val="es-MX"/>
        </w:rPr>
        <w:t>suero</w:t>
      </w:r>
      <w:r w:rsidR="00874C1E" w:rsidRPr="00A548D4">
        <w:rPr>
          <w:highlight w:val="yellow"/>
          <w:lang w:val="es-MX"/>
        </w:rPr>
        <w:t xml:space="preserve"> y extracto de</w:t>
      </w:r>
      <w:r w:rsidR="00923FBF" w:rsidRPr="00A548D4">
        <w:rPr>
          <w:highlight w:val="yellow"/>
          <w:lang w:val="es-MX"/>
        </w:rPr>
        <w:t xml:space="preserve"> bazo y</w:t>
      </w:r>
      <w:r w:rsidR="007A7FC5" w:rsidRPr="00A548D4">
        <w:rPr>
          <w:highlight w:val="yellow"/>
          <w:lang w:val="es-MX"/>
        </w:rPr>
        <w:t xml:space="preserve"> cerebro, mediante ELISA tipo sá</w:t>
      </w:r>
      <w:r w:rsidR="00923FBF" w:rsidRPr="00A548D4">
        <w:rPr>
          <w:highlight w:val="yellow"/>
          <w:lang w:val="es-MX"/>
        </w:rPr>
        <w:t>ndwich; y activación</w:t>
      </w:r>
      <w:r w:rsidR="005209CA" w:rsidRPr="00A548D4">
        <w:rPr>
          <w:highlight w:val="yellow"/>
          <w:lang w:val="es-MX"/>
        </w:rPr>
        <w:t xml:space="preserve"> en sistema nervioso central </w:t>
      </w:r>
      <w:r w:rsidR="007A7FC5" w:rsidRPr="00A548D4">
        <w:rPr>
          <w:highlight w:val="yellow"/>
          <w:lang w:val="es-MX"/>
        </w:rPr>
        <w:t>por</w:t>
      </w:r>
      <w:r w:rsidRPr="00A548D4">
        <w:rPr>
          <w:highlight w:val="yellow"/>
          <w:lang w:val="es-MX"/>
        </w:rPr>
        <w:t xml:space="preserve"> inmunofluorescencia. </w:t>
      </w:r>
      <w:r w:rsidRPr="00A548D4">
        <w:rPr>
          <w:i/>
          <w:highlight w:val="yellow"/>
          <w:lang w:val="es-MX"/>
        </w:rPr>
        <w:t>Resultados:</w:t>
      </w:r>
      <w:r w:rsidRPr="00A548D4">
        <w:rPr>
          <w:highlight w:val="yellow"/>
          <w:lang w:val="es-MX"/>
        </w:rPr>
        <w:t xml:space="preserve"> A las</w:t>
      </w:r>
      <w:r w:rsidR="00BE44E7" w:rsidRPr="00A548D4">
        <w:rPr>
          <w:highlight w:val="yellow"/>
          <w:lang w:val="es-MX"/>
        </w:rPr>
        <w:t xml:space="preserve"> tres horas de la inoculación, observamos</w:t>
      </w:r>
      <w:r w:rsidR="00923FBF" w:rsidRPr="00A548D4">
        <w:rPr>
          <w:highlight w:val="yellow"/>
          <w:lang w:val="es-MX"/>
        </w:rPr>
        <w:t xml:space="preserve"> disminución</w:t>
      </w:r>
      <w:r w:rsidRPr="00A548D4">
        <w:rPr>
          <w:highlight w:val="yellow"/>
          <w:lang w:val="es-MX"/>
        </w:rPr>
        <w:t xml:space="preserve"> en</w:t>
      </w:r>
      <w:r w:rsidR="00923FBF" w:rsidRPr="00A548D4">
        <w:rPr>
          <w:highlight w:val="yellow"/>
          <w:lang w:val="es-MX"/>
        </w:rPr>
        <w:t xml:space="preserve"> la</w:t>
      </w:r>
      <w:r w:rsidRPr="00A548D4">
        <w:rPr>
          <w:highlight w:val="yellow"/>
          <w:lang w:val="es-MX"/>
        </w:rPr>
        <w:t xml:space="preserve"> </w:t>
      </w:r>
      <w:r w:rsidR="00BE44E7" w:rsidRPr="00A548D4">
        <w:rPr>
          <w:highlight w:val="yellow"/>
          <w:lang w:val="es-MX"/>
        </w:rPr>
        <w:t>actividad</w:t>
      </w:r>
      <w:r w:rsidR="00923FBF" w:rsidRPr="00A548D4">
        <w:rPr>
          <w:highlight w:val="yellow"/>
          <w:lang w:val="es-MX"/>
        </w:rPr>
        <w:t xml:space="preserve"> </w:t>
      </w:r>
      <w:r w:rsidR="007A7FC5" w:rsidRPr="00A548D4">
        <w:rPr>
          <w:highlight w:val="yellow"/>
          <w:lang w:val="es-MX"/>
        </w:rPr>
        <w:t>del grupo LPS</w:t>
      </w:r>
      <w:r w:rsidR="0010761B" w:rsidRPr="00A548D4">
        <w:rPr>
          <w:highlight w:val="yellow"/>
          <w:lang w:val="es-MX"/>
        </w:rPr>
        <w:t xml:space="preserve"> </w:t>
      </w:r>
      <w:r w:rsidRPr="00A548D4">
        <w:rPr>
          <w:highlight w:val="yellow"/>
          <w:lang w:val="es-MX"/>
        </w:rPr>
        <w:t>en compa</w:t>
      </w:r>
      <w:r w:rsidR="00923FBF" w:rsidRPr="00A548D4">
        <w:rPr>
          <w:highlight w:val="yellow"/>
          <w:lang w:val="es-MX"/>
        </w:rPr>
        <w:t>ración con los otros grupos experimentales</w:t>
      </w:r>
      <w:r w:rsidRPr="00A548D4">
        <w:rPr>
          <w:highlight w:val="yellow"/>
          <w:lang w:val="es-MX"/>
        </w:rPr>
        <w:t>.</w:t>
      </w:r>
      <w:r w:rsidRPr="00936E6C">
        <w:rPr>
          <w:lang w:val="es-MX"/>
        </w:rPr>
        <w:t xml:space="preserve"> </w:t>
      </w:r>
      <w:r w:rsidR="00874C1E">
        <w:rPr>
          <w:lang w:val="es-MX"/>
        </w:rPr>
        <w:t xml:space="preserve">Cuantificamos concentraciones </w:t>
      </w:r>
      <w:r w:rsidRPr="00936E6C">
        <w:rPr>
          <w:lang w:val="es-MX"/>
        </w:rPr>
        <w:t xml:space="preserve">en </w:t>
      </w:r>
      <w:r w:rsidR="00175954">
        <w:rPr>
          <w:lang w:val="es-MX"/>
        </w:rPr>
        <w:t>suero</w:t>
      </w:r>
      <w:r w:rsidR="00BA0997">
        <w:rPr>
          <w:lang w:val="es-MX"/>
        </w:rPr>
        <w:t xml:space="preserve"> y extracto</w:t>
      </w:r>
      <w:r w:rsidR="00BD33ED">
        <w:rPr>
          <w:lang w:val="es-MX"/>
        </w:rPr>
        <w:t>s</w:t>
      </w:r>
      <w:r w:rsidR="007A7FC5">
        <w:rPr>
          <w:lang w:val="es-MX"/>
        </w:rPr>
        <w:t xml:space="preserve"> de</w:t>
      </w:r>
      <w:r w:rsidRPr="00936E6C">
        <w:rPr>
          <w:lang w:val="es-MX"/>
        </w:rPr>
        <w:t xml:space="preserve"> </w:t>
      </w:r>
      <w:r w:rsidR="00923FBF">
        <w:rPr>
          <w:lang w:val="es-MX"/>
        </w:rPr>
        <w:t>bazo y cerebro</w:t>
      </w:r>
      <w:r w:rsidR="007A7FC5">
        <w:rPr>
          <w:lang w:val="es-MX"/>
        </w:rPr>
        <w:t xml:space="preserve">, </w:t>
      </w:r>
      <w:r w:rsidRPr="00936E6C">
        <w:rPr>
          <w:lang w:val="es-MX"/>
        </w:rPr>
        <w:t xml:space="preserve">donde </w:t>
      </w:r>
      <w:r w:rsidR="00874C1E">
        <w:rPr>
          <w:lang w:val="es-MX"/>
        </w:rPr>
        <w:t>se advirtió la elevación TNF</w:t>
      </w:r>
      <w:r>
        <w:rPr>
          <w:lang w:val="es-MX"/>
        </w:rPr>
        <w:t>α</w:t>
      </w:r>
      <w:r w:rsidRPr="00936E6C">
        <w:rPr>
          <w:lang w:val="es-MX"/>
        </w:rPr>
        <w:t xml:space="preserve"> en</w:t>
      </w:r>
      <w:r w:rsidR="00D54B74">
        <w:rPr>
          <w:lang w:val="es-MX"/>
        </w:rPr>
        <w:t xml:space="preserve"> suero</w:t>
      </w:r>
      <w:r>
        <w:rPr>
          <w:lang w:val="es-MX"/>
        </w:rPr>
        <w:t>, IL-1β</w:t>
      </w:r>
      <w:r w:rsidRPr="00936E6C">
        <w:rPr>
          <w:lang w:val="es-MX"/>
        </w:rPr>
        <w:t xml:space="preserve"> en bazo e IL-6 en cerebro</w:t>
      </w:r>
      <w:r w:rsidR="00874C1E">
        <w:rPr>
          <w:lang w:val="es-MX"/>
        </w:rPr>
        <w:t>. En SNC observamos activación de astrocitos en giro dentado del hipocampo de los ratones del grupo LPS</w:t>
      </w:r>
      <w:r w:rsidRPr="00936E6C">
        <w:rPr>
          <w:lang w:val="es-MX"/>
        </w:rPr>
        <w:t>.</w:t>
      </w:r>
      <w:r>
        <w:rPr>
          <w:lang w:val="es-MX"/>
        </w:rPr>
        <w:t xml:space="preserve"> </w:t>
      </w:r>
      <w:r>
        <w:rPr>
          <w:i/>
          <w:lang w:val="es-MX"/>
        </w:rPr>
        <w:t>Conclusiones:</w:t>
      </w:r>
      <w:r>
        <w:rPr>
          <w:lang w:val="es-MX"/>
        </w:rPr>
        <w:t xml:space="preserve"> </w:t>
      </w:r>
      <w:r w:rsidR="0010761B">
        <w:rPr>
          <w:lang w:val="es-MX"/>
        </w:rPr>
        <w:t>En este modelo experimental, l</w:t>
      </w:r>
      <w:r w:rsidRPr="00936E6C">
        <w:rPr>
          <w:lang w:val="es-MX"/>
        </w:rPr>
        <w:t>a</w:t>
      </w:r>
      <w:r w:rsidR="00745507">
        <w:rPr>
          <w:lang w:val="es-MX"/>
        </w:rPr>
        <w:t xml:space="preserve"> inoculación de</w:t>
      </w:r>
      <w:r w:rsidRPr="00936E6C">
        <w:rPr>
          <w:lang w:val="es-MX"/>
        </w:rPr>
        <w:t xml:space="preserve"> LPS </w:t>
      </w:r>
      <w:r>
        <w:rPr>
          <w:lang w:val="es-MX"/>
        </w:rPr>
        <w:t xml:space="preserve">desencadenó </w:t>
      </w:r>
      <w:r w:rsidRPr="00936E6C">
        <w:rPr>
          <w:lang w:val="es-MX"/>
        </w:rPr>
        <w:t>cambios conductuales</w:t>
      </w:r>
      <w:r>
        <w:rPr>
          <w:lang w:val="es-MX"/>
        </w:rPr>
        <w:t xml:space="preserve"> y</w:t>
      </w:r>
      <w:r w:rsidR="00874C1E">
        <w:rPr>
          <w:lang w:val="es-MX"/>
        </w:rPr>
        <w:t xml:space="preserve"> una</w:t>
      </w:r>
      <w:r>
        <w:rPr>
          <w:lang w:val="es-MX"/>
        </w:rPr>
        <w:t xml:space="preserve"> </w:t>
      </w:r>
      <w:r w:rsidRPr="00936E6C">
        <w:rPr>
          <w:lang w:val="es-MX"/>
        </w:rPr>
        <w:t>respuesta inflamatoria</w:t>
      </w:r>
      <w:r w:rsidR="007A7FC5">
        <w:rPr>
          <w:lang w:val="es-MX"/>
        </w:rPr>
        <w:t xml:space="preserve"> sistémica y central con la consecuente</w:t>
      </w:r>
      <w:r w:rsidR="00874C1E">
        <w:rPr>
          <w:lang w:val="es-MX"/>
        </w:rPr>
        <w:t xml:space="preserve"> elevación de TNF-α, IL-1β</w:t>
      </w:r>
      <w:r w:rsidR="00874C1E" w:rsidRPr="00936E6C">
        <w:rPr>
          <w:lang w:val="es-MX"/>
        </w:rPr>
        <w:t xml:space="preserve"> e IL-6</w:t>
      </w:r>
      <w:r w:rsidR="00874C1E">
        <w:rPr>
          <w:lang w:val="es-MX"/>
        </w:rPr>
        <w:t xml:space="preserve"> y</w:t>
      </w:r>
      <w:r w:rsidR="007A7FC5">
        <w:rPr>
          <w:lang w:val="es-MX"/>
        </w:rPr>
        <w:t xml:space="preserve"> activació</w:t>
      </w:r>
      <w:r w:rsidR="00874C1E">
        <w:rPr>
          <w:lang w:val="es-MX"/>
        </w:rPr>
        <w:t>n de astrocitos.</w:t>
      </w:r>
    </w:p>
    <w:bookmarkEnd w:id="0"/>
    <w:p w14:paraId="023EB6D1" w14:textId="77777777" w:rsidR="00EA2FE5" w:rsidRPr="005A3F62" w:rsidRDefault="00BB474F" w:rsidP="00EA2FE5">
      <w:pPr>
        <w:pStyle w:val="Ttulo1"/>
        <w:rPr>
          <w:sz w:val="16"/>
          <w:szCs w:val="16"/>
        </w:rPr>
      </w:pPr>
      <w:r w:rsidRPr="00D00037">
        <w:t>I</w:t>
      </w:r>
      <w:r>
        <w:rPr>
          <w:sz w:val="16"/>
          <w:szCs w:val="16"/>
        </w:rPr>
        <w:t>NTRODUCCIÓ</w:t>
      </w:r>
      <w:r w:rsidRPr="00D00037">
        <w:rPr>
          <w:sz w:val="16"/>
          <w:szCs w:val="16"/>
        </w:rPr>
        <w:t>N</w:t>
      </w:r>
    </w:p>
    <w:p w14:paraId="3AF82C2B" w14:textId="4FD81BE3" w:rsidR="00757513" w:rsidRDefault="00BB474F" w:rsidP="00BB474F">
      <w:pPr>
        <w:adjustRightInd w:val="0"/>
        <w:jc w:val="both"/>
        <w:rPr>
          <w:lang w:val="es-MX"/>
        </w:rPr>
      </w:pPr>
      <w:r w:rsidRPr="00BB474F">
        <w:rPr>
          <w:lang w:val="es-MX"/>
        </w:rPr>
        <w:t xml:space="preserve">La sepsis es una respuesta inflamatoria sistémica asociada a un agente infeccioso. Su etiología puede variar </w:t>
      </w:r>
      <w:r w:rsidR="00D749D9">
        <w:rPr>
          <w:lang w:val="es-MX"/>
        </w:rPr>
        <w:t>en</w:t>
      </w:r>
      <w:r w:rsidRPr="00BB474F">
        <w:rPr>
          <w:lang w:val="es-MX"/>
        </w:rPr>
        <w:t xml:space="preserve"> microorganismos gram-positivos y gram-negativos, en la zona geográfica de cada centro de atención a la salud, y en la edad y características de cada paciente. Representa hasta el 50% de los ingresos a las unidades de terapia intensiva (UTI) y es un problema </w:t>
      </w:r>
      <w:r w:rsidRPr="004B4429">
        <w:rPr>
          <w:lang w:val="es-MX"/>
        </w:rPr>
        <w:t>importante de salud pública por su</w:t>
      </w:r>
      <w:r w:rsidR="00757513">
        <w:rPr>
          <w:lang w:val="es-MX"/>
        </w:rPr>
        <w:t xml:space="preserve"> alto</w:t>
      </w:r>
      <w:r w:rsidRPr="004B4429">
        <w:rPr>
          <w:lang w:val="es-MX"/>
        </w:rPr>
        <w:t xml:space="preserve"> grado de morbi-mortalidad y los altos costos que repr</w:t>
      </w:r>
      <w:r w:rsidRPr="008554EB">
        <w:rPr>
          <w:lang w:val="es-MX"/>
        </w:rPr>
        <w:t>esenta para los sistemas de salud en todo el mundo</w:t>
      </w:r>
      <w:r w:rsidR="009D451F">
        <w:rPr>
          <w:lang w:val="es-MX"/>
        </w:rPr>
        <w:t xml:space="preserve"> [1]</w:t>
      </w:r>
      <w:r w:rsidRPr="008554EB">
        <w:rPr>
          <w:lang w:val="es-MX"/>
        </w:rPr>
        <w:t xml:space="preserve">. </w:t>
      </w:r>
      <w:r w:rsidR="008554EB" w:rsidRPr="008554EB">
        <w:rPr>
          <w:lang w:val="es-ES_tradnl"/>
        </w:rPr>
        <w:t>En México,</w:t>
      </w:r>
      <w:r w:rsidRPr="008554EB">
        <w:rPr>
          <w:lang w:val="es-ES_tradnl"/>
        </w:rPr>
        <w:t xml:space="preserve"> se reportó una incidencia </w:t>
      </w:r>
      <w:r w:rsidR="008554EB" w:rsidRPr="008554EB">
        <w:rPr>
          <w:lang w:val="es-ES_tradnl"/>
        </w:rPr>
        <w:t>de 40,957 casos de sepsis en el año 2009, y una tasa de incidencia de</w:t>
      </w:r>
      <w:r w:rsidRPr="008554EB">
        <w:rPr>
          <w:lang w:val="es-ES_tradnl"/>
        </w:rPr>
        <w:t xml:space="preserve"> 40 casos por cada 100,000 habitantes, mientras</w:t>
      </w:r>
      <w:r w:rsidRPr="004B4429">
        <w:rPr>
          <w:lang w:val="es-ES_tradnl"/>
        </w:rPr>
        <w:t xml:space="preserve"> que la mortalidad es de 30% y los costos de atención ascienden de $600,000 a $1,870,000 MN, lo que muestra la repercusión de la sepsis en nuestro país </w:t>
      </w:r>
      <w:r w:rsidR="003E4FB1" w:rsidRPr="004B4429">
        <w:rPr>
          <w:lang w:val="es-ES_tradnl"/>
        </w:rPr>
        <w:t>[1</w:t>
      </w:r>
      <w:r w:rsidR="00204F0A">
        <w:rPr>
          <w:lang w:val="es-ES_tradnl"/>
        </w:rPr>
        <w:t>, 2</w:t>
      </w:r>
      <w:r w:rsidRPr="004B4429">
        <w:rPr>
          <w:lang w:val="es-ES_tradnl"/>
        </w:rPr>
        <w:t>].</w:t>
      </w:r>
    </w:p>
    <w:p w14:paraId="5DC348F6" w14:textId="77777777" w:rsidR="00757513" w:rsidRDefault="00757513" w:rsidP="00BB474F">
      <w:pPr>
        <w:adjustRightInd w:val="0"/>
        <w:jc w:val="both"/>
        <w:rPr>
          <w:lang w:val="es-MX"/>
        </w:rPr>
      </w:pPr>
    </w:p>
    <w:p w14:paraId="27D2DFF5" w14:textId="35727CA7" w:rsidR="00BB474F" w:rsidRPr="00757513" w:rsidRDefault="00BB474F" w:rsidP="00BB474F">
      <w:pPr>
        <w:adjustRightInd w:val="0"/>
        <w:jc w:val="both"/>
        <w:rPr>
          <w:lang w:val="es-MX"/>
        </w:rPr>
      </w:pPr>
      <w:r w:rsidRPr="004B4429">
        <w:rPr>
          <w:lang w:val="es-ES"/>
        </w:rPr>
        <w:t>Las bacterias gram-negativas</w:t>
      </w:r>
      <w:r w:rsidR="0021761B">
        <w:rPr>
          <w:lang w:val="es-ES"/>
        </w:rPr>
        <w:t xml:space="preserve"> son una frecuente causa de sepsis;</w:t>
      </w:r>
      <w:r w:rsidRPr="004B4429">
        <w:rPr>
          <w:lang w:val="es-ES"/>
        </w:rPr>
        <w:t xml:space="preserve"> poseen una pared celular que contiene dos capas situadas en el exterior de la membrana citoplasmática. La zona externa de esta membrana está formada fundamentalmente por una endotoxina deno</w:t>
      </w:r>
      <w:r w:rsidR="00204F0A">
        <w:rPr>
          <w:lang w:val="es-ES"/>
        </w:rPr>
        <w:t>minada lipopolisacárido (LPS) [3</w:t>
      </w:r>
      <w:r w:rsidR="009D451F">
        <w:rPr>
          <w:lang w:val="es-ES"/>
        </w:rPr>
        <w:t>, 4</w:t>
      </w:r>
      <w:r w:rsidRPr="004B4429">
        <w:rPr>
          <w:lang w:val="es-ES"/>
        </w:rPr>
        <w:t>].</w:t>
      </w:r>
      <w:r w:rsidR="00757513">
        <w:rPr>
          <w:lang w:val="es-MX"/>
        </w:rPr>
        <w:t xml:space="preserve"> </w:t>
      </w:r>
      <w:r w:rsidRPr="004B4429">
        <w:rPr>
          <w:lang w:val="es-ES"/>
        </w:rPr>
        <w:t>El LPS</w:t>
      </w:r>
      <w:r w:rsidR="00757513" w:rsidRPr="00757513">
        <w:rPr>
          <w:lang w:val="es-ES"/>
        </w:rPr>
        <w:t xml:space="preserve"> </w:t>
      </w:r>
      <w:r w:rsidR="00757513">
        <w:rPr>
          <w:lang w:val="es-ES"/>
        </w:rPr>
        <w:t xml:space="preserve">es considerado un tipo de patrón molecular </w:t>
      </w:r>
      <w:r w:rsidR="00757513" w:rsidRPr="00A548D4">
        <w:rPr>
          <w:highlight w:val="yellow"/>
          <w:lang w:val="es-ES"/>
        </w:rPr>
        <w:t>asociado</w:t>
      </w:r>
      <w:r w:rsidR="009D451F" w:rsidRPr="00A548D4">
        <w:rPr>
          <w:highlight w:val="yellow"/>
          <w:lang w:val="es-ES"/>
        </w:rPr>
        <w:t xml:space="preserve"> a patógenos (PAMP</w:t>
      </w:r>
      <w:r w:rsidR="00757513" w:rsidRPr="00A548D4">
        <w:rPr>
          <w:highlight w:val="yellow"/>
          <w:lang w:val="es-ES"/>
        </w:rPr>
        <w:t>), cuyo subd</w:t>
      </w:r>
      <w:r w:rsidR="00D749D9" w:rsidRPr="00A548D4">
        <w:rPr>
          <w:highlight w:val="yellow"/>
          <w:lang w:val="es-ES"/>
        </w:rPr>
        <w:t>ominio “Lípido A”</w:t>
      </w:r>
      <w:r w:rsidR="00757513" w:rsidRPr="00A548D4">
        <w:rPr>
          <w:highlight w:val="yellow"/>
          <w:lang w:val="es-ES"/>
        </w:rPr>
        <w:t xml:space="preserve"> es reconocido en el huésped, por receptores tipo toll (TLR) en la membrana de las células de la respuesta inmune innata</w:t>
      </w:r>
      <w:r w:rsidRPr="00A548D4">
        <w:rPr>
          <w:highlight w:val="yellow"/>
          <w:lang w:val="es-ES"/>
        </w:rPr>
        <w:t>, activando a macrófagos, células dendríticas, células endoteliales y linfocitos B, induciendo la liberación de</w:t>
      </w:r>
      <w:r w:rsidR="00757513" w:rsidRPr="00A548D4">
        <w:rPr>
          <w:highlight w:val="yellow"/>
          <w:lang w:val="es-ES"/>
        </w:rPr>
        <w:t xml:space="preserve"> moléculas como</w:t>
      </w:r>
      <w:r w:rsidRPr="00A548D4">
        <w:rPr>
          <w:highlight w:val="yellow"/>
          <w:lang w:val="es-ES"/>
        </w:rPr>
        <w:t xml:space="preserve"> factor de necrosis tumoral </w:t>
      </w:r>
      <w:r w:rsidRPr="00A548D4">
        <w:rPr>
          <w:highlight w:val="yellow"/>
          <w:lang w:val="es-ES"/>
        </w:rPr>
        <w:sym w:font="Symbol" w:char="F061"/>
      </w:r>
      <w:r w:rsidRPr="00A548D4">
        <w:rPr>
          <w:highlight w:val="yellow"/>
          <w:lang w:val="es-ES"/>
        </w:rPr>
        <w:t xml:space="preserve"> (TNF</w:t>
      </w:r>
      <w:r w:rsidRPr="00A548D4">
        <w:rPr>
          <w:highlight w:val="yellow"/>
          <w:lang w:val="es-ES"/>
        </w:rPr>
        <w:sym w:font="Symbol" w:char="F061"/>
      </w:r>
      <w:r w:rsidR="00757513" w:rsidRPr="00A548D4">
        <w:rPr>
          <w:highlight w:val="yellow"/>
          <w:lang w:val="es-ES"/>
        </w:rPr>
        <w:t>), interleucina-</w:t>
      </w:r>
      <w:r w:rsidRPr="00A548D4">
        <w:rPr>
          <w:highlight w:val="yellow"/>
          <w:lang w:val="es-ES"/>
        </w:rPr>
        <w:t>1</w:t>
      </w:r>
      <w:r w:rsidRPr="00A548D4">
        <w:rPr>
          <w:highlight w:val="yellow"/>
          <w:lang w:val="es-ES"/>
        </w:rPr>
        <w:sym w:font="Symbol" w:char="F062"/>
      </w:r>
      <w:r w:rsidRPr="00A548D4">
        <w:rPr>
          <w:highlight w:val="yellow"/>
          <w:lang w:val="es-ES"/>
        </w:rPr>
        <w:t xml:space="preserve"> (IL-1</w:t>
      </w:r>
      <w:r w:rsidRPr="00A548D4">
        <w:rPr>
          <w:highlight w:val="yellow"/>
          <w:lang w:val="es-ES"/>
        </w:rPr>
        <w:sym w:font="Symbol" w:char="F062"/>
      </w:r>
      <w:r w:rsidR="00757513" w:rsidRPr="00A548D4">
        <w:rPr>
          <w:highlight w:val="yellow"/>
          <w:lang w:val="es-ES"/>
        </w:rPr>
        <w:t>), interleucina-</w:t>
      </w:r>
      <w:r w:rsidRPr="00A548D4">
        <w:rPr>
          <w:highlight w:val="yellow"/>
          <w:lang w:val="es-ES"/>
        </w:rPr>
        <w:t>6 (IL-6), y otros factores inmuni</w:t>
      </w:r>
      <w:r w:rsidR="00757513" w:rsidRPr="00A548D4">
        <w:rPr>
          <w:highlight w:val="yellow"/>
          <w:lang w:val="es-ES"/>
        </w:rPr>
        <w:t>tarios que desencadenan respuestas inflamatoria</w:t>
      </w:r>
      <w:r w:rsidRPr="00A548D4">
        <w:rPr>
          <w:highlight w:val="yellow"/>
          <w:lang w:val="es-ES"/>
        </w:rPr>
        <w:t>s</w:t>
      </w:r>
      <w:r w:rsidR="009D451F">
        <w:rPr>
          <w:lang w:val="es-ES"/>
        </w:rPr>
        <w:t xml:space="preserve"> [4</w:t>
      </w:r>
      <w:r w:rsidR="00757513">
        <w:rPr>
          <w:lang w:val="es-ES"/>
        </w:rPr>
        <w:t>]</w:t>
      </w:r>
      <w:r w:rsidRPr="004B4429">
        <w:rPr>
          <w:lang w:val="es-ES"/>
        </w:rPr>
        <w:t>. En algunas situaciones esta respuesta es excesiva y descompensada, lo cual puede poner en peligro la vida</w:t>
      </w:r>
      <w:r w:rsidR="00E87720">
        <w:rPr>
          <w:lang w:val="es-ES"/>
        </w:rPr>
        <w:t>.</w:t>
      </w:r>
      <w:r w:rsidRPr="004B4429">
        <w:rPr>
          <w:lang w:val="es-ES"/>
        </w:rPr>
        <w:t xml:space="preserve"> </w:t>
      </w:r>
    </w:p>
    <w:p w14:paraId="5FE684A2" w14:textId="77777777" w:rsidR="00BB474F" w:rsidRPr="004B4429" w:rsidRDefault="00BB474F" w:rsidP="00BB474F">
      <w:pPr>
        <w:adjustRightInd w:val="0"/>
        <w:jc w:val="both"/>
        <w:rPr>
          <w:lang w:val="es-ES"/>
        </w:rPr>
      </w:pPr>
    </w:p>
    <w:p w14:paraId="297B1165" w14:textId="77777777" w:rsidR="00BB474F" w:rsidRPr="004B4429" w:rsidRDefault="00BB474F" w:rsidP="00BB474F">
      <w:pPr>
        <w:adjustRightInd w:val="0"/>
        <w:jc w:val="both"/>
        <w:rPr>
          <w:lang w:val="es-ES"/>
        </w:rPr>
      </w:pPr>
      <w:r w:rsidRPr="004B4429">
        <w:rPr>
          <w:lang w:val="es-ES"/>
        </w:rPr>
        <w:t>Dentro de las citocinas proinflamatorias que son inducidas por LPS, TNF</w:t>
      </w:r>
      <w:r w:rsidRPr="004B4429">
        <w:rPr>
          <w:lang w:val="es-ES"/>
        </w:rPr>
        <w:sym w:font="Symbol" w:char="F061"/>
      </w:r>
      <w:r w:rsidR="002C6FF6">
        <w:rPr>
          <w:lang w:val="es-ES"/>
        </w:rPr>
        <w:t xml:space="preserve"> es de las primeras en liberarse y</w:t>
      </w:r>
      <w:r w:rsidRPr="004B4429">
        <w:rPr>
          <w:lang w:val="es-ES"/>
        </w:rPr>
        <w:t xml:space="preserve"> parece ser de vital </w:t>
      </w:r>
      <w:r w:rsidR="001A5762">
        <w:rPr>
          <w:lang w:val="es-ES"/>
        </w:rPr>
        <w:t>importancia en la sepsis</w:t>
      </w:r>
      <w:r w:rsidRPr="004B4429">
        <w:rPr>
          <w:lang w:val="es-ES"/>
        </w:rPr>
        <w:t xml:space="preserve"> por su alto potencial de lesión tisular; además, induce</w:t>
      </w:r>
      <w:r w:rsidR="001A5762">
        <w:rPr>
          <w:lang w:val="es-ES"/>
        </w:rPr>
        <w:t xml:space="preserve"> la producción de agentes vasodilatadores como el óxido nítrico (NO) y prostaglandina E2 (PGE2), mediante la activación de </w:t>
      </w:r>
      <w:r w:rsidRPr="004B4429">
        <w:rPr>
          <w:lang w:val="es-ES"/>
        </w:rPr>
        <w:t>la</w:t>
      </w:r>
      <w:r w:rsidR="001A5762">
        <w:rPr>
          <w:lang w:val="es-ES"/>
        </w:rPr>
        <w:t>s enzimas</w:t>
      </w:r>
      <w:r w:rsidRPr="004B4429">
        <w:rPr>
          <w:lang w:val="es-ES"/>
        </w:rPr>
        <w:t xml:space="preserve"> óxido nítrico sintasa (iNOS) y ciclooxigenasa 2 (COX-2), </w:t>
      </w:r>
      <w:r w:rsidR="001A5762">
        <w:rPr>
          <w:lang w:val="es-ES"/>
        </w:rPr>
        <w:t>esto produce</w:t>
      </w:r>
      <w:r w:rsidRPr="004B4429">
        <w:rPr>
          <w:lang w:val="es-ES"/>
        </w:rPr>
        <w:t xml:space="preserve"> la migración de neutrófilos al </w:t>
      </w:r>
      <w:r w:rsidR="001A5762">
        <w:rPr>
          <w:lang w:val="es-ES"/>
        </w:rPr>
        <w:t>sitio de infección al estimular la adhesión de leucocitos al</w:t>
      </w:r>
      <w:r w:rsidRPr="004B4429">
        <w:rPr>
          <w:lang w:val="es-ES"/>
        </w:rPr>
        <w:t xml:space="preserve"> endotelio</w:t>
      </w:r>
      <w:r w:rsidR="001A5762">
        <w:rPr>
          <w:lang w:val="es-ES"/>
        </w:rPr>
        <w:t xml:space="preserve"> vascular</w:t>
      </w:r>
      <w:r w:rsidRPr="004B4429">
        <w:rPr>
          <w:lang w:val="es-ES"/>
        </w:rPr>
        <w:t>. El LPS</w:t>
      </w:r>
      <w:r w:rsidR="001A5762">
        <w:rPr>
          <w:lang w:val="es-ES"/>
        </w:rPr>
        <w:t>,</w:t>
      </w:r>
      <w:r w:rsidRPr="004B4429">
        <w:rPr>
          <w:lang w:val="es-ES"/>
        </w:rPr>
        <w:t xml:space="preserve"> en combinación con el TNF</w:t>
      </w:r>
      <w:r w:rsidRPr="004B4429">
        <w:rPr>
          <w:lang w:val="es-ES"/>
        </w:rPr>
        <w:sym w:font="Symbol" w:char="F061"/>
      </w:r>
      <w:r w:rsidRPr="004B4429">
        <w:rPr>
          <w:lang w:val="es-ES"/>
        </w:rPr>
        <w:t xml:space="preserve"> promueven la apoptosis de</w:t>
      </w:r>
      <w:r w:rsidR="00E87720">
        <w:rPr>
          <w:lang w:val="es-ES"/>
        </w:rPr>
        <w:t>l</w:t>
      </w:r>
      <w:r w:rsidRPr="004B4429">
        <w:rPr>
          <w:lang w:val="es-ES"/>
        </w:rPr>
        <w:t xml:space="preserve"> endoteli</w:t>
      </w:r>
      <w:r w:rsidR="00E87720">
        <w:rPr>
          <w:lang w:val="es-ES"/>
        </w:rPr>
        <w:t>o</w:t>
      </w:r>
      <w:r w:rsidR="001A5762">
        <w:rPr>
          <w:lang w:val="es-ES"/>
        </w:rPr>
        <w:t xml:space="preserve"> en</w:t>
      </w:r>
      <w:r w:rsidRPr="004B4429">
        <w:rPr>
          <w:lang w:val="es-ES"/>
        </w:rPr>
        <w:t xml:space="preserve"> diversos órganos </w:t>
      </w:r>
      <w:r w:rsidR="00204F0A">
        <w:rPr>
          <w:lang w:val="es-ES"/>
        </w:rPr>
        <w:t>[4, 5</w:t>
      </w:r>
      <w:r w:rsidRPr="004B4429">
        <w:rPr>
          <w:lang w:val="es-ES"/>
        </w:rPr>
        <w:t>].</w:t>
      </w:r>
    </w:p>
    <w:p w14:paraId="715721A9" w14:textId="77777777" w:rsidR="00BB474F" w:rsidRPr="004A5357" w:rsidRDefault="00BB474F" w:rsidP="00BB474F">
      <w:pPr>
        <w:adjustRightInd w:val="0"/>
        <w:jc w:val="both"/>
        <w:rPr>
          <w:sz w:val="12"/>
          <w:lang w:val="es-ES"/>
        </w:rPr>
      </w:pPr>
    </w:p>
    <w:p w14:paraId="36B345A9" w14:textId="77777777" w:rsidR="00BB474F" w:rsidRPr="004B4429" w:rsidRDefault="00BB474F" w:rsidP="00BB474F">
      <w:pPr>
        <w:adjustRightInd w:val="0"/>
        <w:jc w:val="both"/>
        <w:rPr>
          <w:lang w:val="es-ES"/>
        </w:rPr>
      </w:pPr>
      <w:r w:rsidRPr="004B4429">
        <w:rPr>
          <w:lang w:val="es-ES"/>
        </w:rPr>
        <w:t>La respues</w:t>
      </w:r>
      <w:r w:rsidR="008554EB">
        <w:rPr>
          <w:lang w:val="es-ES"/>
        </w:rPr>
        <w:t>ta inflamatoria del huésped es</w:t>
      </w:r>
      <w:r w:rsidRPr="004B4429">
        <w:rPr>
          <w:lang w:val="es-ES"/>
        </w:rPr>
        <w:t xml:space="preserve"> directamente proporcional a la concentración de LPS en </w:t>
      </w:r>
      <w:r w:rsidR="00D54B74">
        <w:rPr>
          <w:lang w:val="es-ES"/>
        </w:rPr>
        <w:t>suero</w:t>
      </w:r>
      <w:r w:rsidRPr="004B4429">
        <w:rPr>
          <w:lang w:val="es-ES"/>
        </w:rPr>
        <w:t>, quien combinado con TNF</w:t>
      </w:r>
      <w:r w:rsidRPr="004B4429">
        <w:rPr>
          <w:lang w:val="es-ES"/>
        </w:rPr>
        <w:sym w:font="Symbol" w:char="F061"/>
      </w:r>
      <w:r w:rsidRPr="004B4429">
        <w:rPr>
          <w:lang w:val="es-ES"/>
        </w:rPr>
        <w:t xml:space="preserve"> e IL-1</w:t>
      </w:r>
      <w:r w:rsidRPr="004B4429">
        <w:rPr>
          <w:lang w:val="es-ES"/>
        </w:rPr>
        <w:sym w:font="Symbol" w:char="F062"/>
      </w:r>
      <w:r w:rsidR="001A5762">
        <w:rPr>
          <w:lang w:val="es-ES"/>
        </w:rPr>
        <w:t>, pueden producir hipotensión y choque,</w:t>
      </w:r>
      <w:r w:rsidRPr="004B4429">
        <w:rPr>
          <w:lang w:val="es-ES"/>
        </w:rPr>
        <w:t xml:space="preserve"> pérdida de la barrera endotelial y coagulación intravascular diseminada (CID) como consecuencia de la activación de las vías de coagulación de la </w:t>
      </w:r>
      <w:r w:rsidR="00D54B74">
        <w:rPr>
          <w:lang w:val="es-ES"/>
        </w:rPr>
        <w:t>sangre</w:t>
      </w:r>
      <w:r w:rsidRPr="004B4429">
        <w:rPr>
          <w:lang w:val="es-ES"/>
        </w:rPr>
        <w:t xml:space="preserve"> </w:t>
      </w:r>
      <w:r w:rsidR="00204F0A">
        <w:rPr>
          <w:lang w:val="es-ES"/>
        </w:rPr>
        <w:t>[4, 5</w:t>
      </w:r>
      <w:r w:rsidRPr="004B4429">
        <w:rPr>
          <w:lang w:val="es-ES"/>
        </w:rPr>
        <w:t>].</w:t>
      </w:r>
    </w:p>
    <w:p w14:paraId="16842237" w14:textId="77777777" w:rsidR="00CD7783" w:rsidRPr="004A5357" w:rsidRDefault="00CD7783" w:rsidP="00BB474F">
      <w:pPr>
        <w:adjustRightInd w:val="0"/>
        <w:jc w:val="both"/>
        <w:rPr>
          <w:sz w:val="12"/>
          <w:lang w:val="es-ES"/>
        </w:rPr>
      </w:pPr>
    </w:p>
    <w:p w14:paraId="662145D6" w14:textId="77777777" w:rsidR="00FD7228" w:rsidRDefault="00BB474F" w:rsidP="00BB474F">
      <w:pPr>
        <w:adjustRightInd w:val="0"/>
        <w:jc w:val="both"/>
        <w:rPr>
          <w:lang w:val="es-MX"/>
        </w:rPr>
      </w:pPr>
      <w:r w:rsidRPr="004B4429">
        <w:rPr>
          <w:lang w:val="es-ES"/>
        </w:rPr>
        <w:t>Las manifestaciones clínicas de la sepsis varían dependiendo del sitio inicial de infección, la etiología, el patrón de disfunción orgánica y el estado de salud subyacente del paciente.</w:t>
      </w:r>
      <w:r w:rsidR="008554EB">
        <w:rPr>
          <w:lang w:val="es-ES"/>
        </w:rPr>
        <w:t xml:space="preserve"> </w:t>
      </w:r>
      <w:r w:rsidR="001A5762">
        <w:rPr>
          <w:lang w:val="es-ES"/>
        </w:rPr>
        <w:t>E</w:t>
      </w:r>
      <w:r w:rsidRPr="00F24E55">
        <w:rPr>
          <w:lang w:val="es-ES"/>
        </w:rPr>
        <w:t xml:space="preserve">ntre los síntomas más frecuentes, se </w:t>
      </w:r>
      <w:r w:rsidRPr="004B4429">
        <w:rPr>
          <w:lang w:val="es-ES"/>
        </w:rPr>
        <w:t xml:space="preserve">encuentran: alteración del estado de conciencia, inestabilidad hemodinámica (arritmias e hipotensión), alteraciones respiratorias (taquipnea e hipoxia), oliguria, fiebre, </w:t>
      </w:r>
      <w:r w:rsidRPr="004B4429">
        <w:rPr>
          <w:lang w:val="es-ES"/>
        </w:rPr>
        <w:lastRenderedPageBreak/>
        <w:t>leucocitosis, elevación del lactato, y elevación de enzimas hepáticas séricas; que de no ser res</w:t>
      </w:r>
      <w:r w:rsidR="008554EB">
        <w:rPr>
          <w:lang w:val="es-ES"/>
        </w:rPr>
        <w:t xml:space="preserve">ultas, progresan el cuadro a disfunción </w:t>
      </w:r>
      <w:r w:rsidRPr="004B4429">
        <w:rPr>
          <w:lang w:val="es-ES"/>
        </w:rPr>
        <w:t xml:space="preserve">orgánica múltiple </w:t>
      </w:r>
      <w:r w:rsidR="00204F0A">
        <w:rPr>
          <w:lang w:val="es-ES"/>
        </w:rPr>
        <w:t>[5</w:t>
      </w:r>
      <w:r w:rsidRPr="004B4429">
        <w:rPr>
          <w:lang w:val="es-ES"/>
        </w:rPr>
        <w:t>].</w:t>
      </w:r>
    </w:p>
    <w:p w14:paraId="258102E1" w14:textId="77777777" w:rsidR="00FD7228" w:rsidRPr="00FD7228" w:rsidRDefault="00FD7228" w:rsidP="00BB474F">
      <w:pPr>
        <w:adjustRightInd w:val="0"/>
        <w:jc w:val="both"/>
        <w:rPr>
          <w:lang w:val="es-MX"/>
        </w:rPr>
      </w:pPr>
    </w:p>
    <w:p w14:paraId="615826F0" w14:textId="77777777" w:rsidR="00BB474F" w:rsidRPr="004B4429" w:rsidRDefault="00BB474F" w:rsidP="00BB474F">
      <w:pPr>
        <w:adjustRightInd w:val="0"/>
        <w:jc w:val="both"/>
        <w:rPr>
          <w:vertAlign w:val="superscript"/>
          <w:lang w:val="es-ES"/>
        </w:rPr>
      </w:pPr>
      <w:r w:rsidRPr="004B4429">
        <w:rPr>
          <w:lang w:val="es-ES"/>
        </w:rPr>
        <w:t xml:space="preserve">El equilibrio entre las respuestas proinflamatorias y antiinflamatorias está mediado por diversos factores extrínsecos e intrínsecos al organismo. De igual manera influyen tanto </w:t>
      </w:r>
      <w:r w:rsidR="00FD7228">
        <w:rPr>
          <w:lang w:val="es-ES"/>
        </w:rPr>
        <w:t>la carga y virulencia del organismo patógeno</w:t>
      </w:r>
      <w:r w:rsidRPr="004B4429">
        <w:rPr>
          <w:lang w:val="es-ES"/>
        </w:rPr>
        <w:t>, como la presencia de PAMPs. Por otro lado, la edad, ambiente, genética y patologías subyacentes del hospedador también repercu</w:t>
      </w:r>
      <w:r w:rsidR="00FD7228">
        <w:rPr>
          <w:lang w:val="es-ES"/>
        </w:rPr>
        <w:t xml:space="preserve">ten en el desarrollo de la sepsis </w:t>
      </w:r>
      <w:r w:rsidR="00204F0A">
        <w:rPr>
          <w:lang w:val="es-ES"/>
        </w:rPr>
        <w:t>[5</w:t>
      </w:r>
      <w:r w:rsidRPr="004B4429">
        <w:rPr>
          <w:lang w:val="es-ES"/>
        </w:rPr>
        <w:t>].</w:t>
      </w:r>
    </w:p>
    <w:p w14:paraId="0DDA9DAE" w14:textId="77777777" w:rsidR="00BB474F" w:rsidRPr="004B4429" w:rsidRDefault="00BB474F" w:rsidP="00BB474F">
      <w:pPr>
        <w:adjustRightInd w:val="0"/>
        <w:jc w:val="both"/>
        <w:rPr>
          <w:lang w:val="es-ES"/>
        </w:rPr>
      </w:pPr>
    </w:p>
    <w:p w14:paraId="16DFE38C" w14:textId="77777777" w:rsidR="00BB474F" w:rsidRPr="004B4429" w:rsidRDefault="00BB474F" w:rsidP="00BB474F">
      <w:pPr>
        <w:jc w:val="both"/>
        <w:rPr>
          <w:lang w:val="es-MX"/>
        </w:rPr>
      </w:pPr>
      <w:r w:rsidRPr="004B4429">
        <w:rPr>
          <w:lang w:val="es-MX"/>
        </w:rPr>
        <w:t>Actualmente existe evidencia que la activación del sistema inmune periférico puede producir un proceso inflamatorio en</w:t>
      </w:r>
      <w:r w:rsidR="00C036CA">
        <w:rPr>
          <w:lang w:val="es-MX"/>
        </w:rPr>
        <w:t xml:space="preserve"> sistema nervioso central</w:t>
      </w:r>
      <w:r w:rsidRPr="004B4429">
        <w:rPr>
          <w:lang w:val="es-MX"/>
        </w:rPr>
        <w:t xml:space="preserve"> </w:t>
      </w:r>
      <w:r w:rsidR="00C036CA">
        <w:rPr>
          <w:lang w:val="es-MX"/>
        </w:rPr>
        <w:t>(</w:t>
      </w:r>
      <w:r w:rsidRPr="004B4429">
        <w:rPr>
          <w:lang w:val="es-MX"/>
        </w:rPr>
        <w:t>SNC</w:t>
      </w:r>
      <w:r w:rsidR="00C036CA">
        <w:rPr>
          <w:lang w:val="es-MX"/>
        </w:rPr>
        <w:t>)</w:t>
      </w:r>
      <w:r w:rsidRPr="004B4429">
        <w:rPr>
          <w:lang w:val="es-MX"/>
        </w:rPr>
        <w:t>. La edad es un factor que parece intervenir, siendo que, a mayor edad, es mayor la exacerbación de esta respuesta</w:t>
      </w:r>
      <w:r w:rsidRPr="00BB474F">
        <w:rPr>
          <w:lang w:val="es-MX"/>
        </w:rPr>
        <w:t xml:space="preserve"> en SNC</w:t>
      </w:r>
      <w:r w:rsidR="00C036CA">
        <w:rPr>
          <w:lang w:val="es-MX"/>
        </w:rPr>
        <w:t xml:space="preserve"> [6]</w:t>
      </w:r>
      <w:r w:rsidRPr="00BB474F">
        <w:rPr>
          <w:lang w:val="es-MX"/>
        </w:rPr>
        <w:t xml:space="preserve">. Los mecanismos por los cuales se activa esta respuesta en SNC no han sido del todo explicados, pero esto abre una puerta en entender la fisiopatología de enfermedades </w:t>
      </w:r>
      <w:r w:rsidRPr="004B4429">
        <w:rPr>
          <w:lang w:val="es-MX"/>
        </w:rPr>
        <w:t xml:space="preserve">neurodegenerativas en donde se ha evidenciado un proceso neuroinflamatorio asociado, que no se sabe si es causa o efecto de estos padecimientos, como son el trastorno depresivo mayor, esclerosis múltiple, enfermedad de Alzheimer y Parkinson, entre otros </w:t>
      </w:r>
      <w:r w:rsidR="00BC2D2B">
        <w:rPr>
          <w:lang w:val="es-MX"/>
        </w:rPr>
        <w:t>[</w:t>
      </w:r>
      <w:r w:rsidR="00C036CA">
        <w:rPr>
          <w:lang w:val="es-MX"/>
        </w:rPr>
        <w:t>6, 7, 8</w:t>
      </w:r>
      <w:r w:rsidRPr="004B4429">
        <w:rPr>
          <w:lang w:val="es-MX"/>
        </w:rPr>
        <w:t>].</w:t>
      </w:r>
    </w:p>
    <w:p w14:paraId="26292257" w14:textId="77777777" w:rsidR="00044721" w:rsidRPr="004B4429" w:rsidRDefault="00044721" w:rsidP="00BB474F">
      <w:pPr>
        <w:jc w:val="both"/>
        <w:rPr>
          <w:lang w:val="es-MX"/>
        </w:rPr>
      </w:pPr>
    </w:p>
    <w:p w14:paraId="13172B17" w14:textId="77777777" w:rsidR="00EF1183" w:rsidRPr="00EF1183" w:rsidRDefault="00745507" w:rsidP="00BB474F">
      <w:pPr>
        <w:adjustRightInd w:val="0"/>
        <w:jc w:val="both"/>
        <w:rPr>
          <w:lang w:val="es-MX"/>
        </w:rPr>
      </w:pPr>
      <w:r w:rsidRPr="00A548D4">
        <w:rPr>
          <w:highlight w:val="yellow"/>
          <w:lang w:val="es-MX"/>
        </w:rPr>
        <w:t>El objetivo</w:t>
      </w:r>
      <w:r w:rsidR="00EF1183" w:rsidRPr="00A548D4">
        <w:rPr>
          <w:highlight w:val="yellow"/>
          <w:lang w:val="es-MX"/>
        </w:rPr>
        <w:t xml:space="preserve"> de este </w:t>
      </w:r>
      <w:r w:rsidRPr="00A548D4">
        <w:rPr>
          <w:highlight w:val="yellow"/>
          <w:lang w:val="es-MX"/>
        </w:rPr>
        <w:t>trabajo</w:t>
      </w:r>
      <w:r w:rsidR="00BB474F" w:rsidRPr="00A548D4">
        <w:rPr>
          <w:highlight w:val="yellow"/>
          <w:lang w:val="es-MX"/>
        </w:rPr>
        <w:t>, que se desarrolló como activida</w:t>
      </w:r>
      <w:r w:rsidR="0056734B" w:rsidRPr="00A548D4">
        <w:rPr>
          <w:highlight w:val="yellow"/>
          <w:lang w:val="es-MX"/>
        </w:rPr>
        <w:t>d del</w:t>
      </w:r>
      <w:r w:rsidRPr="00A548D4">
        <w:rPr>
          <w:highlight w:val="yellow"/>
          <w:lang w:val="es-MX"/>
        </w:rPr>
        <w:t xml:space="preserve"> Primer</w:t>
      </w:r>
      <w:r w:rsidR="0056734B" w:rsidRPr="00A548D4">
        <w:rPr>
          <w:highlight w:val="yellow"/>
          <w:lang w:val="es-MX"/>
        </w:rPr>
        <w:t xml:space="preserve"> Taller de Investigación</w:t>
      </w:r>
      <w:r w:rsidRPr="00A548D4">
        <w:rPr>
          <w:highlight w:val="yellow"/>
          <w:lang w:val="es-MX"/>
        </w:rPr>
        <w:t xml:space="preserve"> de la FMM-ULSA,</w:t>
      </w:r>
      <w:r w:rsidR="0056734B" w:rsidRPr="00A548D4">
        <w:rPr>
          <w:highlight w:val="yellow"/>
          <w:lang w:val="es-MX"/>
        </w:rPr>
        <w:t xml:space="preserve"> en</w:t>
      </w:r>
      <w:r w:rsidR="00BB474F" w:rsidRPr="00A548D4">
        <w:rPr>
          <w:highlight w:val="yellow"/>
          <w:lang w:val="es-MX"/>
        </w:rPr>
        <w:t xml:space="preserve"> enero 2016, </w:t>
      </w:r>
      <w:r w:rsidRPr="00A548D4">
        <w:rPr>
          <w:highlight w:val="yellow"/>
          <w:lang w:val="es-MX"/>
        </w:rPr>
        <w:t>fue</w:t>
      </w:r>
      <w:r w:rsidR="00EF1183" w:rsidRPr="00A548D4">
        <w:rPr>
          <w:highlight w:val="yellow"/>
          <w:lang w:val="es-MX"/>
        </w:rPr>
        <w:t xml:space="preserve"> </w:t>
      </w:r>
      <w:r w:rsidR="00BB474F" w:rsidRPr="00A548D4">
        <w:rPr>
          <w:highlight w:val="yellow"/>
          <w:lang w:val="es-MX"/>
        </w:rPr>
        <w:t>estudiar la respuesta inflamatoria producida por una dosis sub-letal de LPS en ratones</w:t>
      </w:r>
      <w:r w:rsidRPr="00A548D4">
        <w:rPr>
          <w:highlight w:val="yellow"/>
          <w:lang w:val="es-MX"/>
        </w:rPr>
        <w:t xml:space="preserve"> CD1</w:t>
      </w:r>
      <w:r w:rsidR="00BB474F" w:rsidRPr="00A548D4">
        <w:rPr>
          <w:highlight w:val="yellow"/>
          <w:lang w:val="es-MX"/>
        </w:rPr>
        <w:t>,</w:t>
      </w:r>
      <w:r w:rsidR="0056734B" w:rsidRPr="00A548D4">
        <w:rPr>
          <w:highlight w:val="yellow"/>
          <w:lang w:val="es-MX"/>
        </w:rPr>
        <w:t xml:space="preserve"> </w:t>
      </w:r>
      <w:r w:rsidRPr="00A548D4">
        <w:rPr>
          <w:highlight w:val="yellow"/>
          <w:lang w:val="es-MX"/>
        </w:rPr>
        <w:t>y su efecto en la conductua</w:t>
      </w:r>
      <w:r w:rsidR="00BB474F" w:rsidRPr="00A548D4">
        <w:rPr>
          <w:highlight w:val="yellow"/>
          <w:lang w:val="es-MX"/>
        </w:rPr>
        <w:t xml:space="preserve">, la producción de citocinas </w:t>
      </w:r>
      <w:r w:rsidR="0056734B" w:rsidRPr="00A548D4">
        <w:rPr>
          <w:highlight w:val="yellow"/>
          <w:lang w:val="es-MX"/>
        </w:rPr>
        <w:t>pro</w:t>
      </w:r>
      <w:r w:rsidR="00BB474F" w:rsidRPr="00A548D4">
        <w:rPr>
          <w:highlight w:val="yellow"/>
          <w:lang w:val="es-MX"/>
        </w:rPr>
        <w:t>inflamatorias, y la activ</w:t>
      </w:r>
      <w:r w:rsidR="00E87720" w:rsidRPr="00A548D4">
        <w:rPr>
          <w:highlight w:val="yellow"/>
          <w:lang w:val="es-MX"/>
        </w:rPr>
        <w:t>ación</w:t>
      </w:r>
      <w:r w:rsidR="00BB474F" w:rsidRPr="00A548D4">
        <w:rPr>
          <w:highlight w:val="yellow"/>
          <w:lang w:val="es-MX"/>
        </w:rPr>
        <w:t xml:space="preserve"> de astrocitos en SNC con el fin de detallar el mecanismo fisiopatológico de la sepsis.</w:t>
      </w:r>
    </w:p>
    <w:p w14:paraId="7ADCCFC4" w14:textId="77777777" w:rsidR="00EA2FE5" w:rsidRPr="00EA2FE5" w:rsidRDefault="00F24E55" w:rsidP="00EA2FE5">
      <w:pPr>
        <w:pStyle w:val="Ttulo1"/>
      </w:pPr>
      <w:r w:rsidRPr="004B4429">
        <w:t>Justificación</w:t>
      </w:r>
    </w:p>
    <w:p w14:paraId="041B9E2C" w14:textId="69F6A3AB" w:rsidR="00CD7783" w:rsidRPr="00CD7783" w:rsidRDefault="00BB474F" w:rsidP="00CD7783">
      <w:pPr>
        <w:adjustRightInd w:val="0"/>
        <w:jc w:val="both"/>
        <w:rPr>
          <w:lang w:val="es-ES_tradnl" w:eastAsia="es-MX"/>
        </w:rPr>
      </w:pPr>
      <w:r w:rsidRPr="00A548D4">
        <w:rPr>
          <w:highlight w:val="yellow"/>
          <w:lang w:val="es-MX" w:eastAsia="es-MX"/>
        </w:rPr>
        <w:t>La sepsis es una de la</w:t>
      </w:r>
      <w:r w:rsidR="00FD7228" w:rsidRPr="00A548D4">
        <w:rPr>
          <w:highlight w:val="yellow"/>
          <w:lang w:val="es-MX" w:eastAsia="es-MX"/>
        </w:rPr>
        <w:t>s enfermedades intrahospitalarias más frecuentes en</w:t>
      </w:r>
      <w:r w:rsidRPr="00A548D4">
        <w:rPr>
          <w:highlight w:val="yellow"/>
          <w:lang w:val="es-MX" w:eastAsia="es-MX"/>
        </w:rPr>
        <w:t xml:space="preserve"> México</w:t>
      </w:r>
      <w:r w:rsidRPr="00A548D4">
        <w:rPr>
          <w:highlight w:val="yellow"/>
          <w:lang w:val="es-ES_tradnl" w:eastAsia="es-MX"/>
        </w:rPr>
        <w:t>, lo que demuestra su relevancia en materia de s</w:t>
      </w:r>
      <w:r w:rsidR="00595970" w:rsidRPr="00A548D4">
        <w:rPr>
          <w:highlight w:val="yellow"/>
          <w:lang w:val="es-ES_tradnl" w:eastAsia="es-MX"/>
        </w:rPr>
        <w:t>alud pública con</w:t>
      </w:r>
      <w:r w:rsidRPr="00A548D4">
        <w:rPr>
          <w:highlight w:val="yellow"/>
          <w:lang w:val="es-ES_tradnl" w:eastAsia="es-MX"/>
        </w:rPr>
        <w:t xml:space="preserve"> un alto número de pacientes que se ven afectados ya sea por el mismo cuadro séptico, o por las secuelas ocasionadas.</w:t>
      </w:r>
      <w:r w:rsidR="0056734B" w:rsidRPr="00A548D4">
        <w:rPr>
          <w:highlight w:val="yellow"/>
          <w:lang w:val="es-ES_tradnl" w:eastAsia="es-MX"/>
        </w:rPr>
        <w:t xml:space="preserve"> </w:t>
      </w:r>
      <w:r w:rsidRPr="00A548D4">
        <w:rPr>
          <w:highlight w:val="yellow"/>
          <w:lang w:val="es-ES_tradnl" w:eastAsia="es-MX"/>
        </w:rPr>
        <w:t>Es clave por lo anterior, analizar a</w:t>
      </w:r>
      <w:r w:rsidR="00595970" w:rsidRPr="00A548D4">
        <w:rPr>
          <w:highlight w:val="yellow"/>
          <w:lang w:val="es-ES_tradnl" w:eastAsia="es-MX"/>
        </w:rPr>
        <w:t xml:space="preserve"> fondo los mecanismos fisiopatológicos</w:t>
      </w:r>
      <w:r w:rsidRPr="00A548D4">
        <w:rPr>
          <w:highlight w:val="yellow"/>
          <w:lang w:val="es-ES_tradnl" w:eastAsia="es-MX"/>
        </w:rPr>
        <w:t xml:space="preserve"> que se llevan a cabo en un organismo durante </w:t>
      </w:r>
      <w:r w:rsidR="00D830F6" w:rsidRPr="00A548D4">
        <w:rPr>
          <w:highlight w:val="yellow"/>
          <w:lang w:val="es-ES_tradnl" w:eastAsia="es-MX"/>
        </w:rPr>
        <w:t>el</w:t>
      </w:r>
      <w:r w:rsidRPr="00A548D4">
        <w:rPr>
          <w:highlight w:val="yellow"/>
          <w:lang w:val="es-ES_tradnl" w:eastAsia="es-MX"/>
        </w:rPr>
        <w:t xml:space="preserve"> proceso inflamatorio</w:t>
      </w:r>
      <w:r w:rsidR="00595970" w:rsidRPr="00A548D4">
        <w:rPr>
          <w:highlight w:val="yellow"/>
          <w:lang w:val="es-ES_tradnl" w:eastAsia="es-MX"/>
        </w:rPr>
        <w:t xml:space="preserve"> sistémico</w:t>
      </w:r>
      <w:r w:rsidRPr="00A548D4">
        <w:rPr>
          <w:highlight w:val="yellow"/>
          <w:lang w:val="es-ES_tradnl" w:eastAsia="es-MX"/>
        </w:rPr>
        <w:t>.</w:t>
      </w:r>
    </w:p>
    <w:p w14:paraId="328FBD26" w14:textId="77777777" w:rsidR="00823908" w:rsidRPr="005A3F62" w:rsidRDefault="00823908" w:rsidP="00823908">
      <w:pPr>
        <w:pStyle w:val="Ttulo1"/>
      </w:pPr>
      <w:r>
        <w:t>Conceptos Básicos</w:t>
      </w:r>
    </w:p>
    <w:p w14:paraId="4F58395D" w14:textId="77777777" w:rsidR="002358DB" w:rsidRPr="00823908" w:rsidRDefault="00823908" w:rsidP="002358DB">
      <w:pPr>
        <w:adjustRightInd w:val="0"/>
        <w:jc w:val="both"/>
        <w:rPr>
          <w:lang w:val="es-ES_tradnl" w:eastAsia="es-MX"/>
        </w:rPr>
      </w:pPr>
      <w:r>
        <w:rPr>
          <w:lang w:val="es-ES_tradnl" w:eastAsia="es-MX"/>
        </w:rPr>
        <w:t>Las definiciones de los conceptos básicos a conocer se presentan en la Tabla 1</w:t>
      </w:r>
      <w:r w:rsidR="00FE1C3F">
        <w:rPr>
          <w:lang w:val="es-ES_tradnl" w:eastAsia="es-MX"/>
        </w:rPr>
        <w:t xml:space="preserve"> [9]</w:t>
      </w:r>
      <w:r>
        <w:rPr>
          <w:lang w:val="es-ES_tradnl" w:eastAsia="es-MX"/>
        </w:rPr>
        <w:t>.</w:t>
      </w:r>
      <w:r w:rsidRPr="00A71839">
        <w:rPr>
          <w:lang w:val="es-ES_tradnl" w:eastAsia="es-MX"/>
        </w:rPr>
        <w:t xml:space="preserve"> </w:t>
      </w:r>
    </w:p>
    <w:p w14:paraId="069D8778" w14:textId="1FDE6317" w:rsidR="00EA2FE5" w:rsidRDefault="007C3B61" w:rsidP="00EA2FE5">
      <w:pPr>
        <w:pStyle w:val="Ttulo1"/>
        <w:rPr>
          <w:lang w:val="es-ES"/>
        </w:rPr>
      </w:pPr>
      <w:r>
        <w:rPr>
          <w:lang w:val="es-ES"/>
        </w:rPr>
        <w:t xml:space="preserve">Materiales y </w:t>
      </w:r>
      <w:r w:rsidR="00560BD7">
        <w:rPr>
          <w:lang w:val="es-ES"/>
        </w:rPr>
        <w:t>Método</w:t>
      </w:r>
      <w:r>
        <w:rPr>
          <w:lang w:val="es-ES"/>
        </w:rPr>
        <w:t>s</w:t>
      </w:r>
    </w:p>
    <w:p w14:paraId="318C1FAE" w14:textId="77777777" w:rsidR="00580E7F" w:rsidRPr="00580E7F" w:rsidRDefault="00580E7F" w:rsidP="00580E7F">
      <w:pPr>
        <w:rPr>
          <w:lang w:val="es-ES"/>
        </w:rPr>
      </w:pPr>
    </w:p>
    <w:p w14:paraId="04149BD1" w14:textId="4A609B10" w:rsidR="00AD0DC3" w:rsidRDefault="00AD0DC3" w:rsidP="00AD0DC3">
      <w:pPr>
        <w:adjustRightInd w:val="0"/>
        <w:ind w:firstLine="202"/>
        <w:jc w:val="both"/>
        <w:rPr>
          <w:i/>
          <w:lang w:val="es-ES" w:eastAsia="es-MX"/>
        </w:rPr>
      </w:pPr>
      <w:r>
        <w:rPr>
          <w:i/>
          <w:lang w:val="es-ES" w:eastAsia="es-MX"/>
        </w:rPr>
        <w:t>Animales y Tratamiento</w:t>
      </w:r>
    </w:p>
    <w:p w14:paraId="772995D7" w14:textId="77777777" w:rsidR="00580E7F" w:rsidRPr="00AD0DC3" w:rsidRDefault="00580E7F" w:rsidP="00AD0DC3">
      <w:pPr>
        <w:adjustRightInd w:val="0"/>
        <w:ind w:firstLine="202"/>
        <w:jc w:val="both"/>
        <w:rPr>
          <w:i/>
          <w:lang w:val="es-ES" w:eastAsia="es-MX"/>
        </w:rPr>
      </w:pPr>
    </w:p>
    <w:tbl>
      <w:tblPr>
        <w:tblpPr w:leftFromText="141" w:rightFromText="141" w:vertAnchor="page" w:horzAnchor="margin" w:tblpXSpec="right" w:tblpY="1142"/>
        <w:tblW w:w="487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975"/>
        <w:gridCol w:w="2785"/>
      </w:tblGrid>
      <w:tr w:rsidR="00160CB1" w:rsidRPr="00F86EEF" w14:paraId="653AACA6" w14:textId="77777777" w:rsidTr="00745507">
        <w:trPr>
          <w:cantSplit/>
          <w:trHeight w:val="408"/>
        </w:trPr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6462C289" w14:textId="77777777" w:rsidR="00160CB1" w:rsidRPr="00F86EEF" w:rsidRDefault="00160CB1" w:rsidP="00F312A6">
            <w:pPr>
              <w:adjustRightInd w:val="0"/>
              <w:jc w:val="center"/>
              <w:rPr>
                <w:b/>
                <w:bCs/>
                <w:lang w:val="es-ES_tradnl" w:eastAsia="es-MX"/>
              </w:rPr>
            </w:pPr>
            <w:r w:rsidRPr="00F86EEF">
              <w:rPr>
                <w:b/>
                <w:bCs/>
                <w:lang w:val="es-ES_tradnl" w:eastAsia="es-MX"/>
              </w:rPr>
              <w:t>Concepto</w:t>
            </w:r>
          </w:p>
        </w:tc>
        <w:tc>
          <w:tcPr>
            <w:tcW w:w="37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3BCDE799" w14:textId="77777777" w:rsidR="00160CB1" w:rsidRPr="00F86EEF" w:rsidRDefault="00160CB1" w:rsidP="00F312A6">
            <w:pPr>
              <w:adjustRightInd w:val="0"/>
              <w:jc w:val="center"/>
              <w:rPr>
                <w:b/>
                <w:bCs/>
                <w:lang w:val="es-ES_tradnl" w:eastAsia="es-MX"/>
              </w:rPr>
            </w:pPr>
            <w:r w:rsidRPr="00F86EEF">
              <w:rPr>
                <w:b/>
                <w:bCs/>
                <w:lang w:val="es-ES_tradnl" w:eastAsia="es-MX"/>
              </w:rPr>
              <w:t>Definición</w:t>
            </w:r>
          </w:p>
        </w:tc>
      </w:tr>
      <w:tr w:rsidR="00160CB1" w:rsidRPr="00A548D4" w14:paraId="4CC6F819" w14:textId="77777777" w:rsidTr="00A43EBA">
        <w:trPr>
          <w:cantSplit/>
          <w:trHeight w:val="1202"/>
        </w:trPr>
        <w:tc>
          <w:tcPr>
            <w:tcW w:w="1118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16FE54DE" w14:textId="77777777" w:rsidR="00160CB1" w:rsidRPr="00F86EEF" w:rsidRDefault="00160CB1" w:rsidP="00160CB1">
            <w:pPr>
              <w:adjustRightInd w:val="0"/>
              <w:jc w:val="both"/>
              <w:rPr>
                <w:b/>
                <w:bCs/>
                <w:lang w:val="es-ES_tradnl" w:eastAsia="es-MX"/>
              </w:rPr>
            </w:pPr>
            <w:r w:rsidRPr="00F86EEF">
              <w:rPr>
                <w:b/>
                <w:bCs/>
                <w:lang w:val="es-ES_tradnl" w:eastAsia="es-MX"/>
              </w:rPr>
              <w:t xml:space="preserve">Sepsis </w:t>
            </w:r>
          </w:p>
        </w:tc>
        <w:tc>
          <w:tcPr>
            <w:tcW w:w="3760" w:type="dxa"/>
            <w:gridSpan w:val="2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360A8617" w14:textId="77777777" w:rsidR="00160CB1" w:rsidRPr="00F86EEF" w:rsidRDefault="00160CB1" w:rsidP="00160CB1">
            <w:pPr>
              <w:adjustRightInd w:val="0"/>
              <w:jc w:val="both"/>
              <w:rPr>
                <w:lang w:val="es-ES_tradnl" w:eastAsia="es-MX"/>
              </w:rPr>
            </w:pPr>
            <w:r w:rsidRPr="00F86EEF">
              <w:rPr>
                <w:lang w:val="es-ES_tradnl" w:eastAsia="es-MX"/>
              </w:rPr>
              <w:t>Una complicación severa de infecciones bacterianas que se caracteriza por colapso vascular, coagulación intravascular diseminada y alteraciones metabólicas.</w:t>
            </w:r>
          </w:p>
        </w:tc>
      </w:tr>
      <w:tr w:rsidR="00160CB1" w:rsidRPr="00A548D4" w14:paraId="7C6468E5" w14:textId="77777777" w:rsidTr="00A43EBA">
        <w:trPr>
          <w:cantSplit/>
          <w:trHeight w:val="1361"/>
        </w:trPr>
        <w:tc>
          <w:tcPr>
            <w:tcW w:w="1118" w:type="dxa"/>
            <w:vAlign w:val="center"/>
          </w:tcPr>
          <w:p w14:paraId="0828A576" w14:textId="77777777" w:rsidR="00160CB1" w:rsidRPr="00F86EEF" w:rsidRDefault="00160CB1" w:rsidP="00160CB1">
            <w:pPr>
              <w:adjustRightInd w:val="0"/>
              <w:jc w:val="both"/>
              <w:rPr>
                <w:b/>
                <w:bCs/>
                <w:lang w:val="es-ES_tradnl" w:eastAsia="es-MX"/>
              </w:rPr>
            </w:pPr>
            <w:r w:rsidRPr="00F86EEF">
              <w:rPr>
                <w:b/>
                <w:bCs/>
                <w:lang w:val="es-ES_tradnl" w:eastAsia="es-MX"/>
              </w:rPr>
              <w:t>LPS</w:t>
            </w:r>
          </w:p>
        </w:tc>
        <w:tc>
          <w:tcPr>
            <w:tcW w:w="3760" w:type="dxa"/>
            <w:gridSpan w:val="2"/>
            <w:vAlign w:val="center"/>
          </w:tcPr>
          <w:p w14:paraId="1A605332" w14:textId="77777777" w:rsidR="00160CB1" w:rsidRPr="00F86EEF" w:rsidRDefault="00160CB1" w:rsidP="00160CB1">
            <w:pPr>
              <w:adjustRightInd w:val="0"/>
              <w:jc w:val="both"/>
              <w:rPr>
                <w:lang w:val="es-ES_tradnl" w:eastAsia="es-MX"/>
              </w:rPr>
            </w:pPr>
            <w:r w:rsidRPr="00F86EEF">
              <w:rPr>
                <w:lang w:val="es-ES_tradnl" w:eastAsia="es-MX"/>
              </w:rPr>
              <w:t>Endotoxina. Un componente de la pared celular de las bacterias gram negativas, que se libera cuando la bacteria está muriendo y estimula la respuesta inflamatoria inmune mediante su unión al TLR4.</w:t>
            </w:r>
          </w:p>
        </w:tc>
      </w:tr>
      <w:tr w:rsidR="00160CB1" w:rsidRPr="00A548D4" w14:paraId="3441F2AD" w14:textId="77777777" w:rsidTr="00F312A6">
        <w:trPr>
          <w:cantSplit/>
          <w:trHeight w:val="1416"/>
        </w:trPr>
        <w:tc>
          <w:tcPr>
            <w:tcW w:w="1118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33192130" w14:textId="77777777" w:rsidR="00160CB1" w:rsidRPr="00F86EEF" w:rsidRDefault="00160CB1" w:rsidP="00160CB1">
            <w:pPr>
              <w:adjustRightInd w:val="0"/>
              <w:jc w:val="both"/>
              <w:rPr>
                <w:b/>
                <w:bCs/>
                <w:lang w:val="es-ES_tradnl" w:eastAsia="es-MX"/>
              </w:rPr>
            </w:pPr>
            <w:r w:rsidRPr="00F86EEF">
              <w:rPr>
                <w:b/>
                <w:bCs/>
                <w:lang w:val="es-ES_tradnl" w:eastAsia="es-MX"/>
              </w:rPr>
              <w:t xml:space="preserve">Citocina </w:t>
            </w:r>
          </w:p>
        </w:tc>
        <w:tc>
          <w:tcPr>
            <w:tcW w:w="3760" w:type="dxa"/>
            <w:gridSpan w:val="2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661AFBFC" w14:textId="77777777" w:rsidR="00160CB1" w:rsidRPr="00F86EEF" w:rsidRDefault="00160CB1" w:rsidP="00160CB1">
            <w:pPr>
              <w:adjustRightInd w:val="0"/>
              <w:jc w:val="both"/>
              <w:rPr>
                <w:lang w:val="es-ES_tradnl" w:eastAsia="es-MX"/>
              </w:rPr>
            </w:pPr>
            <w:r w:rsidRPr="00F86EEF">
              <w:rPr>
                <w:lang w:val="es-ES_tradnl" w:eastAsia="es-MX"/>
              </w:rPr>
              <w:t>Proteínas que son producidas y secretadas por muchos tipos celulares, que median la reacción inflamatoria e inmune; son los principales mediadores de la comunicación entre células inmunitarias.</w:t>
            </w:r>
          </w:p>
        </w:tc>
      </w:tr>
      <w:tr w:rsidR="00160CB1" w:rsidRPr="00A548D4" w14:paraId="7210A925" w14:textId="77777777" w:rsidTr="00F312A6">
        <w:trPr>
          <w:cantSplit/>
          <w:trHeight w:val="1626"/>
        </w:trPr>
        <w:tc>
          <w:tcPr>
            <w:tcW w:w="1118" w:type="dxa"/>
            <w:vAlign w:val="center"/>
          </w:tcPr>
          <w:p w14:paraId="6107A18D" w14:textId="77777777" w:rsidR="00160CB1" w:rsidRPr="00F86EEF" w:rsidRDefault="00160CB1" w:rsidP="00160CB1">
            <w:pPr>
              <w:adjustRightInd w:val="0"/>
              <w:jc w:val="both"/>
              <w:rPr>
                <w:b/>
                <w:bCs/>
                <w:lang w:val="es-ES_tradnl" w:eastAsia="es-MX"/>
              </w:rPr>
            </w:pPr>
            <w:r w:rsidRPr="00F86EEF">
              <w:rPr>
                <w:b/>
                <w:bCs/>
                <w:lang w:val="es-ES_tradnl" w:eastAsia="es-MX"/>
              </w:rPr>
              <w:t>Inflama-ción</w:t>
            </w:r>
          </w:p>
        </w:tc>
        <w:tc>
          <w:tcPr>
            <w:tcW w:w="3760" w:type="dxa"/>
            <w:gridSpan w:val="2"/>
            <w:vAlign w:val="center"/>
          </w:tcPr>
          <w:p w14:paraId="7CCD7BBB" w14:textId="77777777" w:rsidR="00160CB1" w:rsidRPr="00F86EEF" w:rsidRDefault="00160CB1" w:rsidP="00160CB1">
            <w:pPr>
              <w:adjustRightInd w:val="0"/>
              <w:jc w:val="both"/>
              <w:rPr>
                <w:lang w:val="es-ES_tradnl" w:eastAsia="es-MX"/>
              </w:rPr>
            </w:pPr>
            <w:r w:rsidRPr="00F86EEF">
              <w:rPr>
                <w:lang w:val="es-ES_tradnl" w:eastAsia="es-MX"/>
              </w:rPr>
              <w:t xml:space="preserve">Reacción compleja del tejido vascularizado en respuesta a la infección o daño celular primario que involucra acumulación extravascular de proteínas plasmáticas y leucocitos. Tiene una función protectora y promueve la reparación tisular posterior. </w:t>
            </w:r>
          </w:p>
        </w:tc>
      </w:tr>
      <w:tr w:rsidR="00160CB1" w:rsidRPr="00A548D4" w14:paraId="6C74469A" w14:textId="77777777" w:rsidTr="00745507">
        <w:trPr>
          <w:cantSplit/>
          <w:trHeight w:val="1336"/>
        </w:trPr>
        <w:tc>
          <w:tcPr>
            <w:tcW w:w="1118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0435E628" w14:textId="77777777" w:rsidR="00160CB1" w:rsidRPr="00F86EEF" w:rsidRDefault="00160CB1" w:rsidP="00160CB1">
            <w:pPr>
              <w:adjustRightInd w:val="0"/>
              <w:jc w:val="both"/>
              <w:rPr>
                <w:b/>
                <w:bCs/>
                <w:lang w:val="es-ES_tradnl" w:eastAsia="es-MX"/>
              </w:rPr>
            </w:pPr>
            <w:r w:rsidRPr="00F86EEF">
              <w:rPr>
                <w:b/>
                <w:bCs/>
                <w:lang w:val="es-ES_tradnl" w:eastAsia="es-MX"/>
              </w:rPr>
              <w:t xml:space="preserve">Respuesta inmune </w:t>
            </w:r>
          </w:p>
        </w:tc>
        <w:tc>
          <w:tcPr>
            <w:tcW w:w="3760" w:type="dxa"/>
            <w:gridSpan w:val="2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22CB4DCC" w14:textId="77777777" w:rsidR="00160CB1" w:rsidRPr="00F86EEF" w:rsidRDefault="00160CB1" w:rsidP="00160CB1">
            <w:pPr>
              <w:adjustRightInd w:val="0"/>
              <w:jc w:val="both"/>
              <w:rPr>
                <w:lang w:val="es-ES_tradnl" w:eastAsia="es-MX"/>
              </w:rPr>
            </w:pPr>
            <w:r w:rsidRPr="00F86EEF">
              <w:rPr>
                <w:lang w:val="es-ES_tradnl" w:eastAsia="es-MX"/>
              </w:rPr>
              <w:t>Respuesta colectiva y coordinada a la introducción de sustancias ajenas en un individuo. Está mediada por células y moléculas pertenecientes al sistema inmune.</w:t>
            </w:r>
          </w:p>
        </w:tc>
      </w:tr>
      <w:tr w:rsidR="00160CB1" w:rsidRPr="00A548D4" w14:paraId="43E20A19" w14:textId="77777777" w:rsidTr="00745507">
        <w:trPr>
          <w:cantSplit/>
          <w:trHeight w:val="1336"/>
        </w:trPr>
        <w:tc>
          <w:tcPr>
            <w:tcW w:w="1118" w:type="dxa"/>
            <w:vAlign w:val="center"/>
          </w:tcPr>
          <w:p w14:paraId="43C56454" w14:textId="77777777" w:rsidR="00160CB1" w:rsidRPr="00F86EEF" w:rsidRDefault="00160CB1" w:rsidP="00160CB1">
            <w:pPr>
              <w:adjustRightInd w:val="0"/>
              <w:jc w:val="both"/>
              <w:rPr>
                <w:b/>
                <w:bCs/>
                <w:lang w:val="es-ES_tradnl" w:eastAsia="es-MX"/>
              </w:rPr>
            </w:pPr>
            <w:r w:rsidRPr="00F86EEF">
              <w:rPr>
                <w:b/>
                <w:bCs/>
                <w:lang w:val="es-ES_tradnl" w:eastAsia="es-MX"/>
              </w:rPr>
              <w:t>ELISA</w:t>
            </w:r>
          </w:p>
        </w:tc>
        <w:tc>
          <w:tcPr>
            <w:tcW w:w="3760" w:type="dxa"/>
            <w:gridSpan w:val="2"/>
            <w:vAlign w:val="center"/>
          </w:tcPr>
          <w:p w14:paraId="06A6B107" w14:textId="77777777" w:rsidR="00160CB1" w:rsidRPr="00F86EEF" w:rsidRDefault="00160CB1" w:rsidP="00160CB1">
            <w:pPr>
              <w:adjustRightInd w:val="0"/>
              <w:jc w:val="both"/>
              <w:rPr>
                <w:lang w:val="es-ES_tradnl" w:eastAsia="es-MX"/>
              </w:rPr>
            </w:pPr>
            <w:r w:rsidRPr="00F86EEF">
              <w:rPr>
                <w:i/>
                <w:lang w:val="es-ES_tradnl" w:eastAsia="es-MX"/>
              </w:rPr>
              <w:t>Enzyme-linked immunosorbent assay</w:t>
            </w:r>
            <w:r w:rsidRPr="00F86EEF">
              <w:rPr>
                <w:lang w:val="es-ES_tradnl" w:eastAsia="es-MX"/>
              </w:rPr>
              <w:t>. Método para cuantificar antígenos inmovilizados en una superficie sólida utilizando un anticuerpo específico con una enzima acoplada covalentemente.</w:t>
            </w:r>
          </w:p>
        </w:tc>
      </w:tr>
      <w:tr w:rsidR="00160CB1" w:rsidRPr="00F86EEF" w14:paraId="3A422CCA" w14:textId="77777777" w:rsidTr="00A43EBA">
        <w:trPr>
          <w:cantSplit/>
          <w:trHeight w:val="1137"/>
        </w:trPr>
        <w:tc>
          <w:tcPr>
            <w:tcW w:w="1118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51AA2F88" w14:textId="77777777" w:rsidR="00160CB1" w:rsidRPr="00F86EEF" w:rsidRDefault="00160CB1" w:rsidP="00160CB1">
            <w:pPr>
              <w:adjustRightInd w:val="0"/>
              <w:jc w:val="both"/>
              <w:rPr>
                <w:b/>
                <w:bCs/>
                <w:lang w:val="es-ES_tradnl" w:eastAsia="es-MX"/>
              </w:rPr>
            </w:pPr>
            <w:r w:rsidRPr="00F86EEF">
              <w:rPr>
                <w:b/>
                <w:bCs/>
                <w:lang w:val="es-ES_tradnl" w:eastAsia="es-MX"/>
              </w:rPr>
              <w:t>Interleuci-na (IL)</w:t>
            </w:r>
          </w:p>
        </w:tc>
        <w:tc>
          <w:tcPr>
            <w:tcW w:w="3760" w:type="dxa"/>
            <w:gridSpan w:val="2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08EE5511" w14:textId="77777777" w:rsidR="00160CB1" w:rsidRPr="00F86EEF" w:rsidRDefault="00160CB1" w:rsidP="00160CB1">
            <w:pPr>
              <w:adjustRightInd w:val="0"/>
              <w:jc w:val="both"/>
              <w:rPr>
                <w:lang w:val="es-ES_tradnl" w:eastAsia="es-MX"/>
              </w:rPr>
            </w:pPr>
            <w:r w:rsidRPr="00F86EEF">
              <w:rPr>
                <w:lang w:val="es-ES_tradnl" w:eastAsia="es-MX"/>
              </w:rPr>
              <w:t>Cualquiera de un gran número de citocinas cuyo nombre incluye un sufijo numérico o caracterización molecular. Algunas fueron nombradas según su actividad biológica.</w:t>
            </w:r>
          </w:p>
        </w:tc>
      </w:tr>
      <w:tr w:rsidR="00160CB1" w:rsidRPr="00A548D4" w14:paraId="76EA17B5" w14:textId="77777777" w:rsidTr="00A43EBA">
        <w:trPr>
          <w:cantSplit/>
          <w:trHeight w:val="1570"/>
        </w:trPr>
        <w:tc>
          <w:tcPr>
            <w:tcW w:w="1118" w:type="dxa"/>
            <w:vAlign w:val="center"/>
          </w:tcPr>
          <w:p w14:paraId="17BD2364" w14:textId="77777777" w:rsidR="00160CB1" w:rsidRPr="00F86EEF" w:rsidRDefault="00160CB1" w:rsidP="00160CB1">
            <w:pPr>
              <w:adjustRightInd w:val="0"/>
              <w:jc w:val="both"/>
              <w:rPr>
                <w:b/>
                <w:bCs/>
                <w:lang w:val="es-ES_tradnl" w:eastAsia="es-MX"/>
              </w:rPr>
            </w:pPr>
            <w:r w:rsidRPr="00F86EEF">
              <w:rPr>
                <w:b/>
                <w:bCs/>
                <w:lang w:val="es-ES_tradnl" w:eastAsia="es-MX"/>
              </w:rPr>
              <w:t>Receptor TLR</w:t>
            </w:r>
          </w:p>
        </w:tc>
        <w:tc>
          <w:tcPr>
            <w:tcW w:w="3760" w:type="dxa"/>
            <w:gridSpan w:val="2"/>
            <w:vAlign w:val="center"/>
          </w:tcPr>
          <w:p w14:paraId="4E037D48" w14:textId="77777777" w:rsidR="00160CB1" w:rsidRPr="00F86EEF" w:rsidRDefault="00160CB1" w:rsidP="00160CB1">
            <w:pPr>
              <w:adjustRightInd w:val="0"/>
              <w:jc w:val="both"/>
              <w:rPr>
                <w:lang w:val="es-ES_tradnl" w:eastAsia="es-MX"/>
              </w:rPr>
            </w:pPr>
            <w:r w:rsidRPr="00F86EEF">
              <w:rPr>
                <w:lang w:val="es-ES_tradnl" w:eastAsia="es-MX"/>
              </w:rPr>
              <w:t>Una familia de receptores de reconocimiento de patrones de la inmunidad innata que están expresadas en la superficie celular y en endosomas de muchos tipos celulares que reconocen estructuras microbianas.</w:t>
            </w:r>
          </w:p>
        </w:tc>
      </w:tr>
      <w:tr w:rsidR="00160CB1" w:rsidRPr="00A548D4" w14:paraId="04B76173" w14:textId="77777777" w:rsidTr="00CB5D06">
        <w:trPr>
          <w:cantSplit/>
          <w:trHeight w:val="1906"/>
        </w:trPr>
        <w:tc>
          <w:tcPr>
            <w:tcW w:w="2093" w:type="dxa"/>
            <w:gridSpan w:val="2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0D9C71D2" w14:textId="77777777" w:rsidR="00160CB1" w:rsidRPr="00F86EEF" w:rsidRDefault="00160CB1" w:rsidP="00160CB1">
            <w:pPr>
              <w:adjustRightInd w:val="0"/>
              <w:jc w:val="both"/>
              <w:rPr>
                <w:b/>
                <w:bCs/>
                <w:lang w:val="es-ES_tradnl" w:eastAsia="es-MX"/>
              </w:rPr>
            </w:pPr>
            <w:r w:rsidRPr="00F86EEF">
              <w:rPr>
                <w:b/>
                <w:bCs/>
                <w:lang w:val="es-ES_tradnl" w:eastAsia="es-MX"/>
              </w:rPr>
              <w:t>Inmunofluorescencia</w:t>
            </w:r>
          </w:p>
        </w:tc>
        <w:tc>
          <w:tcPr>
            <w:tcW w:w="2785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45C72A87" w14:textId="77777777" w:rsidR="00160CB1" w:rsidRPr="00F86EEF" w:rsidRDefault="00160CB1" w:rsidP="00160CB1">
            <w:pPr>
              <w:adjustRightInd w:val="0"/>
              <w:jc w:val="both"/>
              <w:rPr>
                <w:lang w:val="es-ES_tradnl" w:eastAsia="es-MX"/>
              </w:rPr>
            </w:pPr>
            <w:r w:rsidRPr="00F86EEF">
              <w:rPr>
                <w:lang w:val="es-ES_tradnl" w:eastAsia="es-MX"/>
              </w:rPr>
              <w:t>Técnica para detectar la presencia de un antígeno en tejidos utilizando anticuerpos acoplados a marcadores fluorescentes específicos para el antígeno. Es una técnica de rutina utilizada en patología diagnóstica y en investigación.</w:t>
            </w:r>
          </w:p>
        </w:tc>
      </w:tr>
    </w:tbl>
    <w:p w14:paraId="0A223B8B" w14:textId="0E1722A4" w:rsidR="00816FCC" w:rsidRDefault="00BF4446" w:rsidP="00823908">
      <w:pPr>
        <w:adjustRightInd w:val="0"/>
        <w:jc w:val="both"/>
        <w:rPr>
          <w:lang w:val="es-ES" w:eastAsia="es-MX"/>
        </w:rPr>
      </w:pPr>
      <w:r>
        <w:rPr>
          <w:noProof/>
          <w:lang w:val="es-ES_tradnl" w:eastAsia="es-ES_tradnl"/>
        </w:rPr>
        <w:pict w14:anchorId="4C7BF0C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4.4pt;margin-top:62.25pt;width:262.25pt;height:19pt;z-index:-251658240;visibility:visible;mso-position-horizontal-relative:text;mso-position-vertical-relative:text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" filled="f" stroked="f">
            <v:textbox>
              <w:txbxContent>
                <w:p w14:paraId="79DCBF54" w14:textId="77777777" w:rsidR="00091DF7" w:rsidRPr="00091DF7" w:rsidRDefault="0056734B" w:rsidP="00563FDE">
                  <w:pPr>
                    <w:rPr>
                      <w:sz w:val="18"/>
                      <w:szCs w:val="18"/>
                      <w:lang w:val="es-MX"/>
                    </w:rPr>
                  </w:pPr>
                  <w:r w:rsidRPr="004B4429">
                    <w:rPr>
                      <w:sz w:val="18"/>
                      <w:szCs w:val="18"/>
                      <w:lang w:val="es-MX"/>
                    </w:rPr>
                    <w:t xml:space="preserve">Tabla 1. Definición de Conceptos Básicos. </w:t>
                  </w:r>
                  <w:r>
                    <w:rPr>
                      <w:sz w:val="18"/>
                      <w:szCs w:val="18"/>
                      <w:lang w:val="es-MX"/>
                    </w:rPr>
                    <w:t>[10]</w:t>
                  </w:r>
                </w:p>
                <w:p w14:paraId="24A4EE7B" w14:textId="77777777" w:rsidR="0056734B" w:rsidRPr="00E67F08" w:rsidRDefault="0056734B" w:rsidP="0056734B">
                  <w:pPr>
                    <w:rPr>
                      <w:rFonts w:ascii="Arial" w:hAnsi="Arial" w:cs="Arial"/>
                      <w:sz w:val="18"/>
                      <w:szCs w:val="18"/>
                      <w:lang w:val="es-ES"/>
                    </w:rPr>
                  </w:pPr>
                </w:p>
              </w:txbxContent>
            </v:textbox>
            <w10:wrap type="tight"/>
          </v:shape>
        </w:pict>
      </w:r>
      <w:r w:rsidR="00745507">
        <w:rPr>
          <w:lang w:val="es-ES" w:eastAsia="es-MX"/>
        </w:rPr>
        <w:t>Para este trabajo</w:t>
      </w:r>
      <w:r w:rsidR="00BB474F" w:rsidRPr="001B53EC">
        <w:rPr>
          <w:lang w:val="es-ES" w:eastAsia="es-MX"/>
        </w:rPr>
        <w:t xml:space="preserve"> se utilizaron 25 ratones machos de una cepa exogámica CD1 entre 6 y 8 semanas de vida</w:t>
      </w:r>
      <w:r w:rsidR="00BB474F">
        <w:rPr>
          <w:lang w:val="es-ES" w:eastAsia="es-MX"/>
        </w:rPr>
        <w:t xml:space="preserve"> obtenidos del bioterio de la FMM-ULSA</w:t>
      </w:r>
      <w:r w:rsidR="00BB474F" w:rsidRPr="001B53EC">
        <w:rPr>
          <w:lang w:val="es-ES" w:eastAsia="es-MX"/>
        </w:rPr>
        <w:t>,</w:t>
      </w:r>
      <w:r w:rsidR="00745507">
        <w:rPr>
          <w:lang w:val="es-ES" w:eastAsia="es-MX"/>
        </w:rPr>
        <w:t xml:space="preserve"> </w:t>
      </w:r>
      <w:r w:rsidR="00745507" w:rsidRPr="00A548D4">
        <w:rPr>
          <w:highlight w:val="yellow"/>
          <w:lang w:val="es-ES" w:eastAsia="es-MX"/>
        </w:rPr>
        <w:t xml:space="preserve">siguiendo las guías establecidas por el comité </w:t>
      </w:r>
      <w:r w:rsidR="00D830F6" w:rsidRPr="00A548D4">
        <w:rPr>
          <w:highlight w:val="yellow"/>
          <w:lang w:val="es-ES" w:eastAsia="es-MX"/>
        </w:rPr>
        <w:t>institucional</w:t>
      </w:r>
      <w:r w:rsidR="00745507" w:rsidRPr="00A548D4">
        <w:rPr>
          <w:highlight w:val="yellow"/>
          <w:lang w:val="es-ES" w:eastAsia="es-MX"/>
        </w:rPr>
        <w:t xml:space="preserve"> para el cuidado y uso de animales de experimentación.</w:t>
      </w:r>
      <w:r w:rsidR="00BB474F" w:rsidRPr="001B53EC">
        <w:rPr>
          <w:lang w:val="es-ES" w:eastAsia="es-MX"/>
        </w:rPr>
        <w:t xml:space="preserve"> </w:t>
      </w:r>
      <w:r w:rsidR="00745507">
        <w:rPr>
          <w:lang w:val="es-ES" w:eastAsia="es-MX"/>
        </w:rPr>
        <w:t>S</w:t>
      </w:r>
      <w:r w:rsidR="00BB474F">
        <w:rPr>
          <w:lang w:val="es-ES" w:eastAsia="es-MX"/>
        </w:rPr>
        <w:t>e dividieron</w:t>
      </w:r>
      <w:r w:rsidR="00091DF7">
        <w:rPr>
          <w:lang w:val="es-ES" w:eastAsia="es-MX"/>
        </w:rPr>
        <w:t xml:space="preserve"> en tres grupos</w:t>
      </w:r>
      <w:r w:rsidR="004563EE">
        <w:rPr>
          <w:lang w:val="es-ES" w:eastAsia="es-MX"/>
        </w:rPr>
        <w:t xml:space="preserve"> </w:t>
      </w:r>
      <w:r w:rsidR="00BB474F" w:rsidRPr="001B53EC">
        <w:rPr>
          <w:lang w:val="es-ES" w:eastAsia="es-MX"/>
        </w:rPr>
        <w:t>experimentales</w:t>
      </w:r>
      <w:r w:rsidR="00091DF7">
        <w:rPr>
          <w:lang w:val="es-ES" w:eastAsia="es-MX"/>
        </w:rPr>
        <w:t xml:space="preserve"> al azar</w:t>
      </w:r>
      <w:r w:rsidR="00BB474F" w:rsidRPr="001B53EC">
        <w:rPr>
          <w:lang w:val="es-ES" w:eastAsia="es-MX"/>
        </w:rPr>
        <w:t>: sin tratamiento (ST), solución salina isotónica (SSI) y tratamiento con lipopolisacárido (LPS) con 8, 9 y 8 ra</w:t>
      </w:r>
      <w:r w:rsidR="00BB474F" w:rsidRPr="000129F1">
        <w:rPr>
          <w:lang w:val="es-ES" w:eastAsia="es-MX"/>
        </w:rPr>
        <w:t>tones en cada grupo</w:t>
      </w:r>
      <w:r w:rsidR="00BB474F">
        <w:rPr>
          <w:lang w:val="es-ES" w:eastAsia="es-MX"/>
        </w:rPr>
        <w:t>,</w:t>
      </w:r>
      <w:r w:rsidR="00BB474F" w:rsidRPr="000129F1">
        <w:rPr>
          <w:lang w:val="es-ES" w:eastAsia="es-MX"/>
        </w:rPr>
        <w:t xml:space="preserve"> respectivamente. </w:t>
      </w:r>
      <w:r w:rsidR="00BB474F" w:rsidRPr="00A548D4">
        <w:rPr>
          <w:highlight w:val="yellow"/>
          <w:lang w:val="es-ES" w:eastAsia="es-MX"/>
        </w:rPr>
        <w:t>El grupo ST no recibió tra</w:t>
      </w:r>
      <w:r w:rsidR="00745507" w:rsidRPr="00A548D4">
        <w:rPr>
          <w:highlight w:val="yellow"/>
          <w:lang w:val="es-ES" w:eastAsia="es-MX"/>
        </w:rPr>
        <w:t>tamiento alguno; el</w:t>
      </w:r>
      <w:r w:rsidR="00BB474F" w:rsidRPr="00A548D4">
        <w:rPr>
          <w:highlight w:val="yellow"/>
          <w:lang w:val="es-ES" w:eastAsia="es-MX"/>
        </w:rPr>
        <w:t xml:space="preserve"> grupo SS</w:t>
      </w:r>
      <w:r w:rsidR="00091DF7" w:rsidRPr="00A548D4">
        <w:rPr>
          <w:highlight w:val="yellow"/>
          <w:lang w:val="es-ES" w:eastAsia="es-MX"/>
        </w:rPr>
        <w:t>I</w:t>
      </w:r>
      <w:r w:rsidR="00745507" w:rsidRPr="00A548D4">
        <w:rPr>
          <w:highlight w:val="yellow"/>
          <w:lang w:val="es-ES" w:eastAsia="es-MX"/>
        </w:rPr>
        <w:t xml:space="preserve"> recibió</w:t>
      </w:r>
      <w:r w:rsidR="00BB474F" w:rsidRPr="00A548D4">
        <w:rPr>
          <w:highlight w:val="yellow"/>
          <w:lang w:val="es-ES" w:eastAsia="es-MX"/>
        </w:rPr>
        <w:t xml:space="preserve"> 200µL de</w:t>
      </w:r>
      <w:r w:rsidR="00BB474F" w:rsidRPr="000129F1">
        <w:rPr>
          <w:lang w:val="es-ES" w:eastAsia="es-MX"/>
        </w:rPr>
        <w:t xml:space="preserve"> </w:t>
      </w:r>
      <w:r>
        <w:rPr>
          <w:lang w:val="es-ES" w:eastAsia="es-MX"/>
        </w:rPr>
      </w:r>
      <w:r>
        <w:rPr>
          <w:lang w:val="es-ES" w:eastAsia="es-MX"/>
        </w:rPr>
        <w:pict w14:anchorId="09AD21B3">
          <v:shape id="Text Box 1" o:spid="_x0000_s1057" type="#_x0000_t202" style="width:262.25pt;height:19.3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next-textbox:#Text Box 1">
              <w:txbxContent>
                <w:p w14:paraId="51F276D7" w14:textId="77777777" w:rsidR="004A5357" w:rsidRPr="004B4429" w:rsidRDefault="004A5357" w:rsidP="004A5357">
                  <w:pPr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MX"/>
                    </w:rPr>
                    <w:t xml:space="preserve">  </w:t>
                  </w:r>
                  <w:r w:rsidRPr="004B4429">
                    <w:rPr>
                      <w:sz w:val="18"/>
                      <w:szCs w:val="18"/>
                      <w:lang w:val="es-MX"/>
                    </w:rPr>
                    <w:t xml:space="preserve">Tabla 1. Definición de Conceptos Básicos. </w:t>
                  </w:r>
                  <w:r>
                    <w:rPr>
                      <w:sz w:val="18"/>
                      <w:szCs w:val="18"/>
                      <w:lang w:val="es-MX"/>
                    </w:rPr>
                    <w:t>[9]</w:t>
                  </w:r>
                </w:p>
                <w:p w14:paraId="5DC5F364" w14:textId="77777777" w:rsidR="004A5357" w:rsidRPr="00E67F08" w:rsidRDefault="004A5357" w:rsidP="004A5357">
                  <w:pPr>
                    <w:rPr>
                      <w:rFonts w:ascii="Arial" w:hAnsi="Arial" w:cs="Arial"/>
                      <w:sz w:val="18"/>
                      <w:szCs w:val="18"/>
                      <w:lang w:val="es-ES"/>
                    </w:rPr>
                  </w:pPr>
                </w:p>
              </w:txbxContent>
            </v:textbox>
            <w10:wrap type="none"/>
            <w10:anchorlock/>
          </v:shape>
        </w:pict>
      </w:r>
      <w:r w:rsidR="00BB474F" w:rsidRPr="00A548D4">
        <w:rPr>
          <w:highlight w:val="yellow"/>
          <w:lang w:val="es-ES" w:eastAsia="es-MX"/>
        </w:rPr>
        <w:lastRenderedPageBreak/>
        <w:t>solución salina vía intraperitoneal</w:t>
      </w:r>
      <w:r w:rsidR="00745507" w:rsidRPr="00A548D4">
        <w:rPr>
          <w:highlight w:val="yellow"/>
          <w:lang w:val="es-ES" w:eastAsia="es-MX"/>
        </w:rPr>
        <w:t xml:space="preserve"> (ip)</w:t>
      </w:r>
      <w:r w:rsidR="00BB474F" w:rsidRPr="00A548D4">
        <w:rPr>
          <w:highlight w:val="yellow"/>
          <w:lang w:val="es-ES" w:eastAsia="es-MX"/>
        </w:rPr>
        <w:t xml:space="preserve">; y </w:t>
      </w:r>
      <w:r w:rsidR="00745507" w:rsidRPr="00A548D4">
        <w:rPr>
          <w:highlight w:val="yellow"/>
          <w:lang w:val="es-ES" w:eastAsia="es-MX"/>
        </w:rPr>
        <w:t>a</w:t>
      </w:r>
      <w:r w:rsidR="00BB474F" w:rsidRPr="00A548D4">
        <w:rPr>
          <w:highlight w:val="yellow"/>
          <w:lang w:val="es-ES" w:eastAsia="es-MX"/>
        </w:rPr>
        <w:t>l grupo LPS se le</w:t>
      </w:r>
      <w:r w:rsidR="00211CEA" w:rsidRPr="00A548D4">
        <w:rPr>
          <w:highlight w:val="yellow"/>
          <w:lang w:val="es-ES" w:eastAsia="es-MX"/>
        </w:rPr>
        <w:t xml:space="preserve"> administró la dosis de</w:t>
      </w:r>
      <w:r w:rsidR="00091DF7" w:rsidRPr="00A548D4">
        <w:rPr>
          <w:highlight w:val="yellow"/>
          <w:lang w:val="es-ES" w:eastAsia="es-MX"/>
        </w:rPr>
        <w:t xml:space="preserve"> 5mg/kg de LPS</w:t>
      </w:r>
      <w:r w:rsidR="00211CEA" w:rsidRPr="00A548D4">
        <w:rPr>
          <w:highlight w:val="yellow"/>
          <w:lang w:val="es-ES" w:eastAsia="es-MX"/>
        </w:rPr>
        <w:t xml:space="preserve"> de </w:t>
      </w:r>
      <w:r w:rsidR="00211CEA" w:rsidRPr="00A548D4">
        <w:rPr>
          <w:i/>
          <w:highlight w:val="yellow"/>
          <w:lang w:val="es-ES" w:eastAsia="es-MX"/>
        </w:rPr>
        <w:t>Escherichia coli</w:t>
      </w:r>
      <w:r w:rsidR="00211CEA" w:rsidRPr="00A548D4">
        <w:rPr>
          <w:highlight w:val="yellow"/>
          <w:lang w:val="es-ES" w:eastAsia="es-MX"/>
        </w:rPr>
        <w:t xml:space="preserve"> serotipo 0111:B4 (</w:t>
      </w:r>
      <w:r w:rsidR="00A43EBA" w:rsidRPr="00A548D4">
        <w:rPr>
          <w:highlight w:val="yellow"/>
          <w:lang w:val="es-MX" w:eastAsia="es-MX"/>
        </w:rPr>
        <w:t xml:space="preserve">Sigma Chemical </w:t>
      </w:r>
      <w:r w:rsidR="00211CEA" w:rsidRPr="00A548D4">
        <w:rPr>
          <w:highlight w:val="yellow"/>
          <w:lang w:val="es-MX" w:eastAsia="es-MX"/>
        </w:rPr>
        <w:t>Co., </w:t>
      </w:r>
      <w:r w:rsidR="00211CEA" w:rsidRPr="00A548D4">
        <w:rPr>
          <w:bCs/>
          <w:highlight w:val="yellow"/>
          <w:lang w:val="es-MX" w:eastAsia="es-MX"/>
        </w:rPr>
        <w:t>St</w:t>
      </w:r>
      <w:r w:rsidR="00211CEA" w:rsidRPr="00A548D4">
        <w:rPr>
          <w:highlight w:val="yellow"/>
          <w:lang w:val="es-MX" w:eastAsia="es-MX"/>
        </w:rPr>
        <w:t>. </w:t>
      </w:r>
      <w:r w:rsidR="00211CEA" w:rsidRPr="00A548D4">
        <w:rPr>
          <w:bCs/>
          <w:highlight w:val="yellow"/>
          <w:lang w:val="es-MX" w:eastAsia="es-MX"/>
        </w:rPr>
        <w:t>Louis</w:t>
      </w:r>
      <w:r w:rsidR="00211CEA" w:rsidRPr="00A548D4">
        <w:rPr>
          <w:highlight w:val="yellow"/>
          <w:lang w:val="es-MX" w:eastAsia="es-MX"/>
        </w:rPr>
        <w:t>, </w:t>
      </w:r>
      <w:r w:rsidR="00211CEA" w:rsidRPr="00A548D4">
        <w:rPr>
          <w:bCs/>
          <w:highlight w:val="yellow"/>
          <w:lang w:val="es-MX" w:eastAsia="es-MX"/>
        </w:rPr>
        <w:t>MO)</w:t>
      </w:r>
      <w:r w:rsidR="00091DF7" w:rsidRPr="00A548D4">
        <w:rPr>
          <w:highlight w:val="yellow"/>
          <w:lang w:val="es-ES" w:eastAsia="es-MX"/>
        </w:rPr>
        <w:t xml:space="preserve"> diluidos en</w:t>
      </w:r>
      <w:r w:rsidR="00211CEA" w:rsidRPr="00A548D4">
        <w:rPr>
          <w:highlight w:val="yellow"/>
          <w:lang w:val="es-ES" w:eastAsia="es-MX"/>
        </w:rPr>
        <w:t xml:space="preserve"> 200µL de solución salina ip</w:t>
      </w:r>
      <w:r w:rsidR="00BB474F" w:rsidRPr="00A548D4">
        <w:rPr>
          <w:highlight w:val="yellow"/>
          <w:lang w:val="es-ES" w:eastAsia="es-MX"/>
        </w:rPr>
        <w:t>.</w:t>
      </w:r>
      <w:r w:rsidR="00BB474F" w:rsidRPr="000129F1">
        <w:rPr>
          <w:lang w:val="es-ES" w:eastAsia="es-MX"/>
        </w:rPr>
        <w:t xml:space="preserve"> </w:t>
      </w:r>
    </w:p>
    <w:p w14:paraId="5E52F0E7" w14:textId="3F60D74A" w:rsidR="00816FCC" w:rsidRDefault="00816FCC" w:rsidP="00823908">
      <w:pPr>
        <w:adjustRightInd w:val="0"/>
        <w:jc w:val="both"/>
        <w:rPr>
          <w:lang w:val="es-ES" w:eastAsia="es-MX"/>
        </w:rPr>
      </w:pPr>
    </w:p>
    <w:p w14:paraId="2EF0AA9B" w14:textId="77777777" w:rsidR="00F86EEF" w:rsidRPr="00091DF7" w:rsidRDefault="00BB474F" w:rsidP="00823908">
      <w:pPr>
        <w:adjustRightInd w:val="0"/>
        <w:jc w:val="both"/>
        <w:rPr>
          <w:lang w:val="es-ES" w:eastAsia="es-MX"/>
        </w:rPr>
      </w:pPr>
      <w:r w:rsidRPr="000129F1">
        <w:rPr>
          <w:lang w:val="es-ES" w:eastAsia="es-MX"/>
        </w:rPr>
        <w:t>El experimento</w:t>
      </w:r>
      <w:r w:rsidR="00091DF7">
        <w:rPr>
          <w:lang w:val="es-ES" w:eastAsia="es-MX"/>
        </w:rPr>
        <w:t xml:space="preserve"> se dividió en dos tiempos: t1, </w:t>
      </w:r>
      <w:r w:rsidRPr="00A548D4">
        <w:rPr>
          <w:highlight w:val="yellow"/>
          <w:lang w:val="es-ES" w:eastAsia="es-MX"/>
        </w:rPr>
        <w:t xml:space="preserve">en el que se evaluó la actividad conductual de cada ratón previo a la administración de su </w:t>
      </w:r>
      <w:r w:rsidR="00091DF7" w:rsidRPr="00A548D4">
        <w:rPr>
          <w:highlight w:val="yellow"/>
          <w:lang w:val="es-ES" w:eastAsia="es-MX"/>
        </w:rPr>
        <w:t>respectivo tratamiento; y t2</w:t>
      </w:r>
      <w:r w:rsidRPr="00A548D4">
        <w:rPr>
          <w:highlight w:val="yellow"/>
          <w:lang w:val="es-ES" w:eastAsia="es-MX"/>
        </w:rPr>
        <w:t>, tres horas después de la administración de su resp</w:t>
      </w:r>
      <w:r w:rsidR="00211CEA" w:rsidRPr="00A548D4">
        <w:rPr>
          <w:highlight w:val="yellow"/>
          <w:lang w:val="es-ES" w:eastAsia="es-MX"/>
        </w:rPr>
        <w:t>ectivo tratamiento,</w:t>
      </w:r>
      <w:r w:rsidR="00091DF7" w:rsidRPr="00A548D4">
        <w:rPr>
          <w:highlight w:val="yellow"/>
          <w:lang w:val="es-ES" w:eastAsia="es-MX"/>
        </w:rPr>
        <w:t xml:space="preserve"> se volvió a </w:t>
      </w:r>
      <w:r w:rsidR="00F86EEF" w:rsidRPr="00A548D4">
        <w:rPr>
          <w:highlight w:val="yellow"/>
          <w:lang w:val="es-ES" w:eastAsia="es-MX"/>
        </w:rPr>
        <w:t>evaluar la actividad conductual</w:t>
      </w:r>
      <w:r w:rsidR="00745EBF" w:rsidRPr="00A548D4">
        <w:rPr>
          <w:highlight w:val="yellow"/>
          <w:lang w:val="es-ES" w:eastAsia="es-MX"/>
        </w:rPr>
        <w:t>. Se sacrificó a todos los roedores</w:t>
      </w:r>
      <w:r w:rsidR="00AC19FB" w:rsidRPr="00A548D4">
        <w:rPr>
          <w:highlight w:val="yellow"/>
          <w:lang w:val="es-ES" w:eastAsia="es-MX"/>
        </w:rPr>
        <w:t xml:space="preserve"> por la técnica de dislocación cervical</w:t>
      </w:r>
      <w:r w:rsidR="00745EBF" w:rsidRPr="00A548D4">
        <w:rPr>
          <w:highlight w:val="yellow"/>
          <w:lang w:val="es-ES" w:eastAsia="es-MX"/>
        </w:rPr>
        <w:t>, seguido del procesamiento de tejidos y órganos para la determinación de concentraciones de citocinas y activación de células gliales en SNC.</w:t>
      </w:r>
    </w:p>
    <w:p w14:paraId="61CDCA3B" w14:textId="77777777" w:rsidR="00823908" w:rsidRPr="00F86EEF" w:rsidRDefault="00823908" w:rsidP="00823908">
      <w:pPr>
        <w:adjustRightInd w:val="0"/>
        <w:jc w:val="both"/>
        <w:rPr>
          <w:lang w:val="es-ES" w:eastAsia="es-MX"/>
        </w:rPr>
      </w:pPr>
    </w:p>
    <w:p w14:paraId="2ED4360A" w14:textId="7484284D" w:rsidR="00EA2FE5" w:rsidRDefault="00697BA9" w:rsidP="005A3F62">
      <w:pPr>
        <w:adjustRightInd w:val="0"/>
        <w:ind w:firstLine="202"/>
        <w:jc w:val="both"/>
        <w:rPr>
          <w:i/>
          <w:lang w:val="es-ES" w:eastAsia="es-MX"/>
        </w:rPr>
      </w:pPr>
      <w:r>
        <w:rPr>
          <w:i/>
          <w:lang w:val="es-ES" w:eastAsia="es-MX"/>
        </w:rPr>
        <w:t>Actividad Conductual</w:t>
      </w:r>
    </w:p>
    <w:p w14:paraId="0D0B0810" w14:textId="77777777" w:rsidR="007E3E1C" w:rsidRDefault="007E3E1C" w:rsidP="005A3F62">
      <w:pPr>
        <w:adjustRightInd w:val="0"/>
        <w:ind w:firstLine="202"/>
        <w:jc w:val="both"/>
        <w:rPr>
          <w:i/>
          <w:lang w:val="es-ES" w:eastAsia="es-MX"/>
        </w:rPr>
      </w:pPr>
    </w:p>
    <w:p w14:paraId="1E29FA19" w14:textId="77777777" w:rsidR="00C569B4" w:rsidRPr="00C569B4" w:rsidRDefault="00C569B4" w:rsidP="00C569B4">
      <w:pPr>
        <w:adjustRightInd w:val="0"/>
        <w:jc w:val="both"/>
        <w:rPr>
          <w:i/>
          <w:sz w:val="2"/>
          <w:szCs w:val="2"/>
          <w:lang w:val="es-ES" w:eastAsia="es-MX"/>
        </w:rPr>
      </w:pPr>
    </w:p>
    <w:p w14:paraId="4B6C4A1A" w14:textId="77777777" w:rsidR="00BB474F" w:rsidRDefault="00211CEA" w:rsidP="00BB474F">
      <w:pPr>
        <w:adjustRightInd w:val="0"/>
        <w:jc w:val="both"/>
        <w:rPr>
          <w:lang w:val="es-ES" w:eastAsia="es-MX"/>
        </w:rPr>
      </w:pPr>
      <w:r>
        <w:rPr>
          <w:lang w:val="es-ES" w:eastAsia="es-MX"/>
        </w:rPr>
        <w:t>Para evaluar la conducta</w:t>
      </w:r>
      <w:r w:rsidR="00BB474F" w:rsidRPr="007466A6">
        <w:rPr>
          <w:lang w:val="es-ES" w:eastAsia="es-MX"/>
        </w:rPr>
        <w:t xml:space="preserve"> de los ratones se utilizaron bandejas, cuya base se dividió en nueve cuadrantes, dejando a los ratones desplazarse libremente y observándolos durante 2 minutos. Cada ratón debía cruzar cualquiera de las líneas con</w:t>
      </w:r>
      <w:r w:rsidR="00BB474F">
        <w:rPr>
          <w:lang w:val="es-ES" w:eastAsia="es-MX"/>
        </w:rPr>
        <w:t xml:space="preserve"> las cuatro extremidades </w:t>
      </w:r>
      <w:r w:rsidR="00BB474F" w:rsidRPr="001B53EC">
        <w:rPr>
          <w:lang w:val="es-ES" w:eastAsia="es-MX"/>
        </w:rPr>
        <w:t>para acreditar un desplazamiento completo. Se realizó la prueba antes</w:t>
      </w:r>
      <w:r w:rsidR="00AE14B3">
        <w:rPr>
          <w:lang w:val="es-ES" w:eastAsia="es-MX"/>
        </w:rPr>
        <w:t xml:space="preserve"> y después</w:t>
      </w:r>
      <w:r w:rsidR="00BB474F" w:rsidRPr="001B53EC">
        <w:rPr>
          <w:lang w:val="es-ES" w:eastAsia="es-MX"/>
        </w:rPr>
        <w:t xml:space="preserve"> del</w:t>
      </w:r>
      <w:r w:rsidR="00AE14B3">
        <w:rPr>
          <w:lang w:val="es-ES" w:eastAsia="es-MX"/>
        </w:rPr>
        <w:t xml:space="preserve"> respectivo</w:t>
      </w:r>
      <w:r w:rsidR="00BB474F" w:rsidRPr="001B53EC">
        <w:rPr>
          <w:lang w:val="es-ES" w:eastAsia="es-MX"/>
        </w:rPr>
        <w:t xml:space="preserve"> tratamiento, se contó el total de desplazamientos completos de cada ratón y se obtuvo media y desviación estándar (SD) de cada grupo experimental.</w:t>
      </w:r>
    </w:p>
    <w:p w14:paraId="1463AA0E" w14:textId="77777777" w:rsidR="005A3F62" w:rsidRPr="00580E7F" w:rsidRDefault="005A3F62" w:rsidP="005A3F62">
      <w:pPr>
        <w:adjustRightInd w:val="0"/>
        <w:ind w:firstLine="202"/>
        <w:jc w:val="both"/>
        <w:rPr>
          <w:i/>
          <w:sz w:val="40"/>
          <w:lang w:val="es-ES" w:eastAsia="es-MX"/>
        </w:rPr>
      </w:pPr>
    </w:p>
    <w:p w14:paraId="4E7F900F" w14:textId="00BE5D66" w:rsidR="00EA2FE5" w:rsidRDefault="001B53EC" w:rsidP="005A3F62">
      <w:pPr>
        <w:adjustRightInd w:val="0"/>
        <w:ind w:firstLine="202"/>
        <w:jc w:val="both"/>
        <w:rPr>
          <w:i/>
          <w:lang w:val="es-ES" w:eastAsia="es-MX"/>
        </w:rPr>
      </w:pPr>
      <w:r w:rsidRPr="001B53EC">
        <w:rPr>
          <w:i/>
          <w:lang w:val="es-ES" w:eastAsia="es-MX"/>
        </w:rPr>
        <w:t>Concentración de Citocinas</w:t>
      </w:r>
    </w:p>
    <w:p w14:paraId="2211D2F2" w14:textId="77777777" w:rsidR="007E3E1C" w:rsidRDefault="007E3E1C" w:rsidP="005A3F62">
      <w:pPr>
        <w:adjustRightInd w:val="0"/>
        <w:ind w:firstLine="202"/>
        <w:jc w:val="both"/>
        <w:rPr>
          <w:i/>
          <w:lang w:val="es-ES" w:eastAsia="es-MX"/>
        </w:rPr>
      </w:pPr>
    </w:p>
    <w:p w14:paraId="0EC67967" w14:textId="77777777" w:rsidR="00C569B4" w:rsidRPr="00C569B4" w:rsidRDefault="00C569B4" w:rsidP="00C569B4">
      <w:pPr>
        <w:adjustRightInd w:val="0"/>
        <w:ind w:firstLine="202"/>
        <w:jc w:val="both"/>
        <w:rPr>
          <w:i/>
          <w:sz w:val="2"/>
          <w:szCs w:val="2"/>
          <w:lang w:val="es-ES" w:eastAsia="es-MX"/>
        </w:rPr>
      </w:pPr>
    </w:p>
    <w:p w14:paraId="46F7CEA2" w14:textId="77777777" w:rsidR="007E3E1C" w:rsidRPr="00A548D4" w:rsidRDefault="00BB474F" w:rsidP="007E3E1C">
      <w:pPr>
        <w:adjustRightInd w:val="0"/>
        <w:jc w:val="both"/>
        <w:rPr>
          <w:highlight w:val="yellow"/>
          <w:lang w:val="es-MX" w:eastAsia="es-MX"/>
        </w:rPr>
      </w:pPr>
      <w:r w:rsidRPr="001B53EC">
        <w:rPr>
          <w:lang w:val="es-ES" w:eastAsia="es-MX"/>
        </w:rPr>
        <w:t>L</w:t>
      </w:r>
      <w:r w:rsidR="00745EBF">
        <w:rPr>
          <w:lang w:val="es-ES" w:eastAsia="es-MX"/>
        </w:rPr>
        <w:t>a concentración de</w:t>
      </w:r>
      <w:r w:rsidR="00745EBF" w:rsidRPr="00745EBF">
        <w:rPr>
          <w:lang w:val="es-ES" w:eastAsia="es-MX"/>
        </w:rPr>
        <w:t xml:space="preserve"> </w:t>
      </w:r>
      <w:r w:rsidR="00745EBF" w:rsidRPr="001B53EC">
        <w:rPr>
          <w:lang w:val="es-ES" w:eastAsia="es-MX"/>
        </w:rPr>
        <w:t>TNFα</w:t>
      </w:r>
      <w:r w:rsidR="00745EBF">
        <w:rPr>
          <w:lang w:val="es-ES" w:eastAsia="es-MX"/>
        </w:rPr>
        <w:t>, IL-1β e IL-6</w:t>
      </w:r>
      <w:r w:rsidRPr="001B53EC">
        <w:rPr>
          <w:lang w:val="es-ES" w:eastAsia="es-MX"/>
        </w:rPr>
        <w:t xml:space="preserve"> se obtuvo mediante </w:t>
      </w:r>
      <w:r w:rsidRPr="00A548D4">
        <w:rPr>
          <w:highlight w:val="yellow"/>
          <w:lang w:val="es-ES" w:eastAsia="es-MX"/>
        </w:rPr>
        <w:t xml:space="preserve">ELISA de tipo sándwich </w:t>
      </w:r>
      <w:r w:rsidR="00211CEA" w:rsidRPr="00A548D4">
        <w:rPr>
          <w:highlight w:val="yellow"/>
          <w:lang w:val="es-ES" w:eastAsia="es-MX"/>
        </w:rPr>
        <w:t>en suero, bazo</w:t>
      </w:r>
      <w:r w:rsidRPr="00A548D4">
        <w:rPr>
          <w:highlight w:val="yellow"/>
          <w:lang w:val="es-ES" w:eastAsia="es-MX"/>
        </w:rPr>
        <w:t xml:space="preserve"> y cerebro. Las muestras se obtuvieron mediante homogenización de tejidos (bazo y cerebro)</w:t>
      </w:r>
      <w:r w:rsidR="00EF2107" w:rsidRPr="00A548D4">
        <w:rPr>
          <w:highlight w:val="yellow"/>
          <w:lang w:val="es-ES" w:eastAsia="es-MX"/>
        </w:rPr>
        <w:t xml:space="preserve"> </w:t>
      </w:r>
      <w:r w:rsidR="00EF2107" w:rsidRPr="00A548D4">
        <w:rPr>
          <w:highlight w:val="yellow"/>
          <w:lang w:val="es-MX" w:eastAsia="es-MX"/>
        </w:rPr>
        <w:t>en un buffer de lísis (50 mM HEPES, 150 mM NaCl, 1% Nonidet-p40, 0.5% desoxicolato de sodio, 0.1% SDS) que contenía inhibidores de las proteasas (Roche, IN). Una vez realizado esto, las muestras fueron centrifugadas a 16,00</w:t>
      </w:r>
      <w:r w:rsidR="00883043" w:rsidRPr="00A548D4">
        <w:rPr>
          <w:highlight w:val="yellow"/>
          <w:lang w:val="es-MX" w:eastAsia="es-MX"/>
        </w:rPr>
        <w:t>0 x g durante 15 minutos a 4 ºC. L</w:t>
      </w:r>
      <w:r w:rsidR="00EF2107" w:rsidRPr="00A548D4">
        <w:rPr>
          <w:highlight w:val="yellow"/>
          <w:lang w:val="es-MX" w:eastAsia="es-MX"/>
        </w:rPr>
        <w:t>os sobrenadantes fueron utilizados para análisis. La cantidad total de proteínas en el extracto soluble fueron cuantificadas mediante el método de Lowry</w:t>
      </w:r>
      <w:r w:rsidR="00EF2107" w:rsidRPr="00A548D4">
        <w:rPr>
          <w:highlight w:val="yellow"/>
          <w:lang w:val="es-ES" w:eastAsia="es-MX"/>
        </w:rPr>
        <w:t xml:space="preserve">. Para </w:t>
      </w:r>
      <w:r w:rsidR="00BA0997" w:rsidRPr="00A548D4">
        <w:rPr>
          <w:highlight w:val="yellow"/>
          <w:lang w:val="es-ES" w:eastAsia="es-MX"/>
        </w:rPr>
        <w:t>la</w:t>
      </w:r>
      <w:r w:rsidR="00EF2107" w:rsidRPr="00A548D4">
        <w:rPr>
          <w:highlight w:val="yellow"/>
          <w:lang w:val="es-ES" w:eastAsia="es-MX"/>
        </w:rPr>
        <w:t xml:space="preserve"> </w:t>
      </w:r>
      <w:r w:rsidR="00BA0997" w:rsidRPr="00A548D4">
        <w:rPr>
          <w:highlight w:val="yellow"/>
          <w:lang w:val="es-ES" w:eastAsia="es-MX"/>
        </w:rPr>
        <w:t>obtención</w:t>
      </w:r>
      <w:r w:rsidR="00EF2107" w:rsidRPr="00A548D4">
        <w:rPr>
          <w:highlight w:val="yellow"/>
          <w:lang w:val="es-ES" w:eastAsia="es-MX"/>
        </w:rPr>
        <w:t xml:space="preserve"> </w:t>
      </w:r>
      <w:r w:rsidR="00BA0997" w:rsidRPr="00A548D4">
        <w:rPr>
          <w:highlight w:val="yellow"/>
          <w:lang w:val="es-ES" w:eastAsia="es-MX"/>
        </w:rPr>
        <w:t>de</w:t>
      </w:r>
      <w:r w:rsidR="00D54B74" w:rsidRPr="00A548D4">
        <w:rPr>
          <w:highlight w:val="yellow"/>
          <w:lang w:val="es-ES" w:eastAsia="es-MX"/>
        </w:rPr>
        <w:t xml:space="preserve"> suero</w:t>
      </w:r>
      <w:r w:rsidR="00EF2107" w:rsidRPr="00A548D4">
        <w:rPr>
          <w:highlight w:val="yellow"/>
          <w:lang w:val="es-ES" w:eastAsia="es-MX"/>
        </w:rPr>
        <w:t xml:space="preserve">, </w:t>
      </w:r>
      <w:r w:rsidR="00BA0997" w:rsidRPr="00A548D4">
        <w:rPr>
          <w:highlight w:val="yellow"/>
          <w:lang w:val="es-ES" w:eastAsia="es-MX"/>
        </w:rPr>
        <w:t>se obtuvo</w:t>
      </w:r>
      <w:r w:rsidR="00EF2107" w:rsidRPr="00A548D4">
        <w:rPr>
          <w:highlight w:val="yellow"/>
          <w:lang w:val="es-ES" w:eastAsia="es-MX"/>
        </w:rPr>
        <w:t xml:space="preserve"> la</w:t>
      </w:r>
      <w:r w:rsidR="00211CEA" w:rsidRPr="00A548D4">
        <w:rPr>
          <w:highlight w:val="yellow"/>
          <w:lang w:val="es-ES" w:eastAsia="es-MX"/>
        </w:rPr>
        <w:t xml:space="preserve"> sangre por punción </w:t>
      </w:r>
      <w:r w:rsidR="00BC11B4" w:rsidRPr="00A548D4">
        <w:rPr>
          <w:highlight w:val="yellow"/>
          <w:lang w:val="es-ES" w:eastAsia="es-MX"/>
        </w:rPr>
        <w:t>retroocular</w:t>
      </w:r>
      <w:r w:rsidR="00211CEA" w:rsidRPr="00A548D4">
        <w:rPr>
          <w:highlight w:val="yellow"/>
          <w:lang w:val="es-ES" w:eastAsia="es-MX"/>
        </w:rPr>
        <w:t xml:space="preserve"> con capilares y</w:t>
      </w:r>
      <w:r w:rsidR="00745EBF" w:rsidRPr="00A548D4">
        <w:rPr>
          <w:highlight w:val="yellow"/>
          <w:lang w:val="es-ES" w:eastAsia="es-MX"/>
        </w:rPr>
        <w:t xml:space="preserve"> centrifugación de la muestra</w:t>
      </w:r>
      <w:r w:rsidRPr="00A548D4">
        <w:rPr>
          <w:highlight w:val="yellow"/>
          <w:lang w:val="es-ES" w:eastAsia="es-MX"/>
        </w:rPr>
        <w:t>.</w:t>
      </w:r>
      <w:r w:rsidR="005C72A9" w:rsidRPr="00A548D4">
        <w:rPr>
          <w:highlight w:val="yellow"/>
          <w:lang w:val="es-ES" w:eastAsia="es-MX"/>
        </w:rPr>
        <w:t xml:space="preserve"> Tanto el suero como los extractos proteicos se almacenaron a -20ºC hasta su uso.</w:t>
      </w:r>
      <w:r w:rsidR="009B1F0B" w:rsidRPr="00A548D4">
        <w:rPr>
          <w:highlight w:val="yellow"/>
          <w:lang w:val="es-ES" w:eastAsia="es-MX"/>
        </w:rPr>
        <w:t xml:space="preserve"> </w:t>
      </w:r>
      <w:r w:rsidR="009B1F0B" w:rsidRPr="00A548D4">
        <w:rPr>
          <w:highlight w:val="yellow"/>
          <w:lang w:val="es-MX" w:eastAsia="es-MX"/>
        </w:rPr>
        <w:t>S</w:t>
      </w:r>
      <w:r w:rsidR="00883043" w:rsidRPr="00A548D4">
        <w:rPr>
          <w:highlight w:val="yellow"/>
          <w:lang w:val="es-MX" w:eastAsia="es-MX"/>
        </w:rPr>
        <w:t>e realizaron</w:t>
      </w:r>
      <w:r w:rsidR="006863C6" w:rsidRPr="00A548D4">
        <w:rPr>
          <w:highlight w:val="yellow"/>
          <w:lang w:val="es-MX" w:eastAsia="es-MX"/>
        </w:rPr>
        <w:t xml:space="preserve"> ELISA</w:t>
      </w:r>
      <w:r w:rsidR="00883043" w:rsidRPr="00A548D4">
        <w:rPr>
          <w:highlight w:val="yellow"/>
          <w:lang w:val="es-MX" w:eastAsia="es-MX"/>
        </w:rPr>
        <w:t>s</w:t>
      </w:r>
      <w:r w:rsidR="009B1F0B" w:rsidRPr="00A548D4">
        <w:rPr>
          <w:highlight w:val="yellow"/>
          <w:lang w:val="es-MX" w:eastAsia="es-MX"/>
        </w:rPr>
        <w:t xml:space="preserve"> </w:t>
      </w:r>
      <w:r w:rsidR="009B1F0B" w:rsidRPr="00A548D4">
        <w:rPr>
          <w:highlight w:val="yellow"/>
          <w:lang w:val="es-ES" w:eastAsia="es-MX"/>
        </w:rPr>
        <w:t xml:space="preserve">de acuerdo a las instrucciones del kit comercial Biolegend ELISA MAX® (San Diego, </w:t>
      </w:r>
      <w:r w:rsidR="00883043" w:rsidRPr="00A548D4">
        <w:rPr>
          <w:highlight w:val="yellow"/>
          <w:lang w:val="es-ES" w:eastAsia="es-MX"/>
        </w:rPr>
        <w:t xml:space="preserve">CA) </w:t>
      </w:r>
      <w:r w:rsidR="00883043" w:rsidRPr="00A548D4">
        <w:rPr>
          <w:highlight w:val="yellow"/>
          <w:lang w:val="es-MX" w:eastAsia="es-MX"/>
        </w:rPr>
        <w:t>en</w:t>
      </w:r>
      <w:r w:rsidR="00EF2107" w:rsidRPr="00A548D4">
        <w:rPr>
          <w:highlight w:val="yellow"/>
          <w:lang w:val="es-MX" w:eastAsia="es-MX"/>
        </w:rPr>
        <w:t xml:space="preserve"> 96 “MaxiSorp microtiter plates” (Nunc, Rockslide, Denmark). </w:t>
      </w:r>
    </w:p>
    <w:p w14:paraId="54D191DB" w14:textId="77777777" w:rsidR="007E3E1C" w:rsidRPr="00A548D4" w:rsidRDefault="007E3E1C" w:rsidP="007E3E1C">
      <w:pPr>
        <w:adjustRightInd w:val="0"/>
        <w:jc w:val="both"/>
        <w:rPr>
          <w:highlight w:val="yellow"/>
          <w:lang w:val="es-MX" w:eastAsia="es-MX"/>
        </w:rPr>
      </w:pPr>
    </w:p>
    <w:p w14:paraId="08B1C879" w14:textId="5C75CC55" w:rsidR="00456F0F" w:rsidRDefault="00EF2107" w:rsidP="007E3E1C">
      <w:pPr>
        <w:adjustRightInd w:val="0"/>
        <w:jc w:val="both"/>
        <w:rPr>
          <w:lang w:val="es-ES" w:eastAsia="es-MX"/>
        </w:rPr>
      </w:pPr>
      <w:r w:rsidRPr="00A548D4">
        <w:rPr>
          <w:highlight w:val="yellow"/>
          <w:lang w:val="es-MX" w:eastAsia="es-MX"/>
        </w:rPr>
        <w:t xml:space="preserve">Los microplatos </w:t>
      </w:r>
      <w:r w:rsidR="000D25A6" w:rsidRPr="00A548D4">
        <w:rPr>
          <w:highlight w:val="yellow"/>
          <w:lang w:val="es-MX" w:eastAsia="es-MX"/>
        </w:rPr>
        <w:t xml:space="preserve">se prepararon </w:t>
      </w:r>
      <w:r w:rsidRPr="00A548D4">
        <w:rPr>
          <w:highlight w:val="yellow"/>
          <w:lang w:val="es-MX" w:eastAsia="es-MX"/>
        </w:rPr>
        <w:t>18 h</w:t>
      </w:r>
      <w:r w:rsidR="00CF1A53" w:rsidRPr="00A548D4">
        <w:rPr>
          <w:highlight w:val="yellow"/>
          <w:lang w:val="es-MX" w:eastAsia="es-MX"/>
        </w:rPr>
        <w:t>rs</w:t>
      </w:r>
      <w:r w:rsidR="000D25A6" w:rsidRPr="00A548D4">
        <w:rPr>
          <w:highlight w:val="yellow"/>
          <w:lang w:val="es-MX" w:eastAsia="es-MX"/>
        </w:rPr>
        <w:t xml:space="preserve"> antes</w:t>
      </w:r>
      <w:r w:rsidRPr="00A548D4">
        <w:rPr>
          <w:highlight w:val="yellow"/>
          <w:lang w:val="es-MX" w:eastAsia="es-MX"/>
        </w:rPr>
        <w:t xml:space="preserve"> a 4º C con el anticuerpo de captura. Después de lavar con PBS-Tween-20 (0.05%) y bloquear </w:t>
      </w:r>
      <w:r w:rsidR="00CF1A53" w:rsidRPr="00A548D4">
        <w:rPr>
          <w:highlight w:val="yellow"/>
          <w:lang w:val="es-MX" w:eastAsia="es-MX"/>
        </w:rPr>
        <w:t>por 60 min</w:t>
      </w:r>
      <w:r w:rsidRPr="00A548D4">
        <w:rPr>
          <w:highlight w:val="yellow"/>
          <w:lang w:val="es-MX" w:eastAsia="es-MX"/>
        </w:rPr>
        <w:t xml:space="preserve"> a temperatura ambiente con PBS-BSA 2%, </w:t>
      </w:r>
      <w:r w:rsidR="00156FCC" w:rsidRPr="00A548D4">
        <w:rPr>
          <w:highlight w:val="yellow"/>
          <w:lang w:val="es-MX" w:eastAsia="es-MX"/>
        </w:rPr>
        <w:t>los sueros y extractos</w:t>
      </w:r>
      <w:r w:rsidR="00235CDE" w:rsidRPr="00A548D4">
        <w:rPr>
          <w:highlight w:val="yellow"/>
          <w:lang w:val="es-MX" w:eastAsia="es-MX"/>
        </w:rPr>
        <w:t xml:space="preserve"> fueron incubado</w:t>
      </w:r>
      <w:r w:rsidRPr="00A548D4">
        <w:rPr>
          <w:highlight w:val="yellow"/>
          <w:lang w:val="es-MX" w:eastAsia="es-MX"/>
        </w:rPr>
        <w:t xml:space="preserve">s a </w:t>
      </w:r>
      <w:r w:rsidR="00CF1A53" w:rsidRPr="00A548D4">
        <w:rPr>
          <w:highlight w:val="yellow"/>
          <w:lang w:val="es-MX" w:eastAsia="es-MX"/>
        </w:rPr>
        <w:t>temperatura ambiente por 2 hrs con la solución estándar</w:t>
      </w:r>
      <w:r w:rsidRPr="00A548D4">
        <w:rPr>
          <w:highlight w:val="yellow"/>
          <w:lang w:val="es-MX" w:eastAsia="es-MX"/>
        </w:rPr>
        <w:t>, s</w:t>
      </w:r>
      <w:r w:rsidR="00210822" w:rsidRPr="00A548D4">
        <w:rPr>
          <w:highlight w:val="yellow"/>
          <w:lang w:val="es-MX" w:eastAsia="es-MX"/>
        </w:rPr>
        <w:t>e lavaron tres veces y se incubaron</w:t>
      </w:r>
      <w:r w:rsidRPr="00A548D4">
        <w:rPr>
          <w:highlight w:val="yellow"/>
          <w:lang w:val="es-MX" w:eastAsia="es-MX"/>
        </w:rPr>
        <w:t xml:space="preserve"> durante u</w:t>
      </w:r>
      <w:r w:rsidR="00CF1A53" w:rsidRPr="00A548D4">
        <w:rPr>
          <w:highlight w:val="yellow"/>
          <w:lang w:val="es-MX" w:eastAsia="es-MX"/>
        </w:rPr>
        <w:t xml:space="preserve">na hora a temperatura ambiente </w:t>
      </w:r>
      <w:r w:rsidRPr="00A548D4">
        <w:rPr>
          <w:highlight w:val="yellow"/>
          <w:lang w:val="es-MX" w:eastAsia="es-MX"/>
        </w:rPr>
        <w:t xml:space="preserve">con el anticuerpo de detección. </w:t>
      </w:r>
      <w:r w:rsidR="00235CDE" w:rsidRPr="00A548D4">
        <w:rPr>
          <w:highlight w:val="yellow"/>
          <w:lang w:val="es-MX" w:eastAsia="es-MX"/>
        </w:rPr>
        <w:t xml:space="preserve">Se colocaron </w:t>
      </w:r>
      <w:r w:rsidR="00FF51A8" w:rsidRPr="00A548D4">
        <w:rPr>
          <w:highlight w:val="yellow"/>
          <w:lang w:val="es-MX" w:eastAsia="es-MX"/>
        </w:rPr>
        <w:t>100 µL de</w:t>
      </w:r>
      <w:r w:rsidR="00235CDE" w:rsidRPr="00A548D4">
        <w:rPr>
          <w:highlight w:val="yellow"/>
          <w:lang w:val="es-MX" w:eastAsia="es-MX"/>
        </w:rPr>
        <w:t xml:space="preserve"> suero y </w:t>
      </w:r>
      <w:r w:rsidR="00FF51A8" w:rsidRPr="00A548D4">
        <w:rPr>
          <w:highlight w:val="yellow"/>
          <w:lang w:val="es-MX" w:eastAsia="es-MX"/>
        </w:rPr>
        <w:t>extractos por poz</w:t>
      </w:r>
      <w:r w:rsidR="00235CDE" w:rsidRPr="00A548D4">
        <w:rPr>
          <w:highlight w:val="yellow"/>
          <w:lang w:val="es-MX" w:eastAsia="es-MX"/>
        </w:rPr>
        <w:t xml:space="preserve">o </w:t>
      </w:r>
      <w:r w:rsidR="00FF51A8" w:rsidRPr="00A548D4">
        <w:rPr>
          <w:highlight w:val="yellow"/>
          <w:lang w:val="es-MX" w:eastAsia="es-MX"/>
        </w:rPr>
        <w:t xml:space="preserve">de cada placa </w:t>
      </w:r>
      <w:r w:rsidR="00235CDE" w:rsidRPr="00A548D4">
        <w:rPr>
          <w:highlight w:val="yellow"/>
          <w:lang w:val="es-MX" w:eastAsia="es-MX"/>
        </w:rPr>
        <w:t xml:space="preserve">y por triplicado para cada </w:t>
      </w:r>
      <w:r w:rsidR="00FF51A8" w:rsidRPr="00A548D4">
        <w:rPr>
          <w:highlight w:val="yellow"/>
          <w:lang w:val="es-MX" w:eastAsia="es-MX"/>
        </w:rPr>
        <w:t>citocina. La</w:t>
      </w:r>
      <w:r w:rsidRPr="00A548D4">
        <w:rPr>
          <w:highlight w:val="yellow"/>
          <w:lang w:val="es-MX" w:eastAsia="es-MX"/>
        </w:rPr>
        <w:t xml:space="preserve"> detección de </w:t>
      </w:r>
      <w:r w:rsidR="0051396D" w:rsidRPr="00A548D4">
        <w:rPr>
          <w:highlight w:val="yellow"/>
          <w:lang w:val="es-MX" w:eastAsia="es-MX"/>
        </w:rPr>
        <w:t>antígenos</w:t>
      </w:r>
      <w:r w:rsidRPr="00A548D4">
        <w:rPr>
          <w:highlight w:val="yellow"/>
          <w:lang w:val="es-MX" w:eastAsia="es-MX"/>
        </w:rPr>
        <w:t xml:space="preserve"> se llevó a cabo utilizando una dilución </w:t>
      </w:r>
      <w:r w:rsidR="00CF1A53" w:rsidRPr="00A548D4">
        <w:rPr>
          <w:highlight w:val="yellow"/>
          <w:lang w:val="es-MX" w:eastAsia="es-MX"/>
        </w:rPr>
        <w:t>1:</w:t>
      </w:r>
      <w:r w:rsidRPr="00A548D4">
        <w:rPr>
          <w:highlight w:val="yellow"/>
          <w:lang w:val="es-MX" w:eastAsia="es-MX"/>
        </w:rPr>
        <w:t>1000 Avidina-HRP y TMB como sustrato. La densidad óptica fue leída antes y después de que la reacción fuera detenida con H</w:t>
      </w:r>
      <w:r w:rsidRPr="00A548D4">
        <w:rPr>
          <w:highlight w:val="yellow"/>
          <w:vertAlign w:val="subscript"/>
          <w:lang w:val="es-MX" w:eastAsia="es-MX"/>
        </w:rPr>
        <w:t>2</w:t>
      </w:r>
      <w:r w:rsidRPr="00A548D4">
        <w:rPr>
          <w:highlight w:val="yellow"/>
          <w:lang w:val="es-MX" w:eastAsia="es-MX"/>
        </w:rPr>
        <w:t>SO</w:t>
      </w:r>
      <w:r w:rsidR="0036629E" w:rsidRPr="00A548D4">
        <w:rPr>
          <w:highlight w:val="yellow"/>
          <w:vertAlign w:val="subscript"/>
          <w:lang w:val="es-MX" w:eastAsia="es-MX"/>
        </w:rPr>
        <w:t>4</w:t>
      </w:r>
      <w:r w:rsidRPr="00A548D4">
        <w:rPr>
          <w:highlight w:val="yellow"/>
          <w:lang w:val="es-MX" w:eastAsia="es-MX"/>
        </w:rPr>
        <w:t xml:space="preserve"> 2N a </w:t>
      </w:r>
      <w:r w:rsidRPr="00A548D4">
        <w:rPr>
          <w:highlight w:val="yellow"/>
          <w:lang w:val="es-MX" w:eastAsia="es-MX"/>
        </w:rPr>
        <w:t>450 y 630 nm respectivamente. Los resultados fueron expresados en pg/mL por mg de proteína de su respectivo extracto soluble.</w:t>
      </w:r>
      <w:r w:rsidR="00BB474F" w:rsidRPr="00A548D4">
        <w:rPr>
          <w:highlight w:val="yellow"/>
          <w:lang w:val="es-ES" w:eastAsia="es-MX"/>
        </w:rPr>
        <w:t xml:space="preserve"> De los datos analizados se obtuvo media y SD de cada grupo.</w:t>
      </w:r>
    </w:p>
    <w:p w14:paraId="2E2CB4BE" w14:textId="77777777" w:rsidR="00580E7F" w:rsidRPr="007E3E1C" w:rsidRDefault="00580E7F" w:rsidP="007E3E1C">
      <w:pPr>
        <w:adjustRightInd w:val="0"/>
        <w:jc w:val="both"/>
        <w:rPr>
          <w:lang w:val="es-ES" w:eastAsia="es-MX"/>
        </w:rPr>
      </w:pPr>
    </w:p>
    <w:p w14:paraId="276475A4" w14:textId="574F84E3" w:rsidR="00EA2FE5" w:rsidRDefault="00FD155A" w:rsidP="005A3F62">
      <w:pPr>
        <w:adjustRightInd w:val="0"/>
        <w:ind w:firstLine="202"/>
        <w:jc w:val="both"/>
        <w:rPr>
          <w:i/>
          <w:lang w:val="es-ES" w:eastAsia="es-MX"/>
        </w:rPr>
      </w:pPr>
      <w:r>
        <w:rPr>
          <w:i/>
          <w:lang w:val="es-ES" w:eastAsia="es-MX"/>
        </w:rPr>
        <w:t>Inmunofluorescencia</w:t>
      </w:r>
    </w:p>
    <w:p w14:paraId="20A9E2A4" w14:textId="77777777" w:rsidR="007E3E1C" w:rsidRDefault="007E3E1C" w:rsidP="005A3F62">
      <w:pPr>
        <w:adjustRightInd w:val="0"/>
        <w:ind w:firstLine="202"/>
        <w:jc w:val="both"/>
        <w:rPr>
          <w:i/>
          <w:lang w:val="es-ES" w:eastAsia="es-MX"/>
        </w:rPr>
      </w:pPr>
    </w:p>
    <w:p w14:paraId="5401EA72" w14:textId="77777777" w:rsidR="00C569B4" w:rsidRPr="00C569B4" w:rsidRDefault="00C569B4" w:rsidP="00C569B4">
      <w:pPr>
        <w:adjustRightInd w:val="0"/>
        <w:ind w:firstLine="202"/>
        <w:jc w:val="both"/>
        <w:rPr>
          <w:i/>
          <w:sz w:val="2"/>
          <w:szCs w:val="2"/>
          <w:lang w:val="es-ES" w:eastAsia="es-MX"/>
        </w:rPr>
      </w:pPr>
    </w:p>
    <w:p w14:paraId="251B11E7" w14:textId="77777777" w:rsidR="00AF0212" w:rsidRPr="00A548D4" w:rsidRDefault="00BB474F" w:rsidP="00BB474F">
      <w:pPr>
        <w:adjustRightInd w:val="0"/>
        <w:jc w:val="both"/>
        <w:rPr>
          <w:highlight w:val="yellow"/>
          <w:lang w:val="es-ES" w:eastAsia="es-MX"/>
        </w:rPr>
      </w:pPr>
      <w:r w:rsidRPr="001B53EC">
        <w:rPr>
          <w:lang w:val="es-ES" w:eastAsia="es-MX"/>
        </w:rPr>
        <w:t>Para observar la actividad inflamatoria en SNC se obtuvieron muestras histológicas de ce</w:t>
      </w:r>
      <w:r>
        <w:rPr>
          <w:lang w:val="es-ES" w:eastAsia="es-MX"/>
        </w:rPr>
        <w:t>rebro a nivel de hipocampo y</w:t>
      </w:r>
      <w:r w:rsidRPr="001B53EC">
        <w:rPr>
          <w:lang w:val="es-ES" w:eastAsia="es-MX"/>
        </w:rPr>
        <w:t xml:space="preserve"> giro dentado.</w:t>
      </w:r>
      <w:r w:rsidR="00557C5E">
        <w:rPr>
          <w:lang w:val="es-ES" w:eastAsia="es-MX"/>
        </w:rPr>
        <w:t xml:space="preserve"> </w:t>
      </w:r>
      <w:r w:rsidR="00557C5E" w:rsidRPr="00A548D4">
        <w:rPr>
          <w:highlight w:val="yellow"/>
          <w:lang w:val="es-ES" w:eastAsia="es-MX"/>
        </w:rPr>
        <w:t xml:space="preserve">Los cerebros </w:t>
      </w:r>
      <w:r w:rsidR="004F13EE" w:rsidRPr="00A548D4">
        <w:rPr>
          <w:highlight w:val="yellow"/>
          <w:lang w:val="es-ES" w:eastAsia="es-MX"/>
        </w:rPr>
        <w:t>fueron fijados</w:t>
      </w:r>
      <w:r w:rsidR="00557C5E" w:rsidRPr="00A548D4">
        <w:rPr>
          <w:highlight w:val="yellow"/>
          <w:lang w:val="es-ES" w:eastAsia="es-MX"/>
        </w:rPr>
        <w:t xml:space="preserve"> y </w:t>
      </w:r>
      <w:r w:rsidR="004F13EE" w:rsidRPr="00A548D4">
        <w:rPr>
          <w:highlight w:val="yellow"/>
          <w:lang w:val="es-ES" w:eastAsia="es-MX"/>
        </w:rPr>
        <w:t>después</w:t>
      </w:r>
      <w:r w:rsidR="0036629E" w:rsidRPr="00A548D4">
        <w:rPr>
          <w:highlight w:val="yellow"/>
          <w:lang w:val="es-ES" w:eastAsia="es-MX"/>
        </w:rPr>
        <w:t xml:space="preserve"> </w:t>
      </w:r>
      <w:r w:rsidR="002728EC" w:rsidRPr="00A548D4">
        <w:rPr>
          <w:highlight w:val="yellow"/>
          <w:lang w:val="es-ES" w:eastAsia="es-MX"/>
        </w:rPr>
        <w:t>crí</w:t>
      </w:r>
      <w:r w:rsidR="004F13EE" w:rsidRPr="00A548D4">
        <w:rPr>
          <w:highlight w:val="yellow"/>
          <w:lang w:val="es-ES" w:eastAsia="es-MX"/>
        </w:rPr>
        <w:t>opreservados</w:t>
      </w:r>
      <w:r w:rsidR="0036629E" w:rsidRPr="00A548D4">
        <w:rPr>
          <w:highlight w:val="yellow"/>
          <w:lang w:val="es-ES" w:eastAsia="es-MX"/>
        </w:rPr>
        <w:t xml:space="preserve"> </w:t>
      </w:r>
      <w:r w:rsidR="00557C5E" w:rsidRPr="00A548D4">
        <w:rPr>
          <w:highlight w:val="yellow"/>
          <w:lang w:val="es-ES" w:eastAsia="es-MX"/>
        </w:rPr>
        <w:t xml:space="preserve">en soluciones crecientes de sacarosa (10, 20 y 30%). </w:t>
      </w:r>
      <w:r w:rsidR="0036629E" w:rsidRPr="00A548D4">
        <w:rPr>
          <w:highlight w:val="yellow"/>
          <w:lang w:val="es-ES" w:eastAsia="es-MX"/>
        </w:rPr>
        <w:t xml:space="preserve">Se realizaron cortes de 30 µm de grosor y se incubó en solución buffer de citratos (0.01M ácido cítrico, 0.05% Tween 20, pH 6.0) a una temperatura de 70°C durante 50 min. </w:t>
      </w:r>
    </w:p>
    <w:p w14:paraId="56747948" w14:textId="77777777" w:rsidR="00AF0212" w:rsidRPr="00A548D4" w:rsidRDefault="00AF0212" w:rsidP="00BB474F">
      <w:pPr>
        <w:adjustRightInd w:val="0"/>
        <w:jc w:val="both"/>
        <w:rPr>
          <w:highlight w:val="yellow"/>
          <w:lang w:val="es-ES" w:eastAsia="es-MX"/>
        </w:rPr>
      </w:pPr>
    </w:p>
    <w:p w14:paraId="688BF765" w14:textId="0876F3D2" w:rsidR="00EA2FE5" w:rsidRDefault="0036629E" w:rsidP="00BB474F">
      <w:pPr>
        <w:adjustRightInd w:val="0"/>
        <w:jc w:val="both"/>
        <w:rPr>
          <w:lang w:val="es-ES" w:eastAsia="es-MX"/>
        </w:rPr>
      </w:pPr>
      <w:r w:rsidRPr="00A548D4">
        <w:rPr>
          <w:highlight w:val="yellow"/>
          <w:lang w:val="es-ES" w:eastAsia="es-MX"/>
        </w:rPr>
        <w:t xml:space="preserve">Las muestras fueron lavadas </w:t>
      </w:r>
      <w:r w:rsidR="00235CDE" w:rsidRPr="00A548D4">
        <w:rPr>
          <w:highlight w:val="yellow"/>
          <w:lang w:val="es-ES" w:eastAsia="es-MX"/>
        </w:rPr>
        <w:t>4</w:t>
      </w:r>
      <w:r w:rsidRPr="00A548D4">
        <w:rPr>
          <w:highlight w:val="yellow"/>
          <w:lang w:val="es-ES" w:eastAsia="es-MX"/>
        </w:rPr>
        <w:t xml:space="preserve"> veces </w:t>
      </w:r>
      <w:r w:rsidR="00CF1A53" w:rsidRPr="00A548D4">
        <w:rPr>
          <w:highlight w:val="yellow"/>
          <w:lang w:val="es-ES" w:eastAsia="es-MX"/>
        </w:rPr>
        <w:t>con solución TBS y bloqueadas con solución de albúmina libre de IgG al 2%.</w:t>
      </w:r>
      <w:r w:rsidR="00BB474F" w:rsidRPr="00A548D4">
        <w:rPr>
          <w:highlight w:val="yellow"/>
          <w:lang w:val="es-ES" w:eastAsia="es-MX"/>
        </w:rPr>
        <w:t xml:space="preserve"> Se </w:t>
      </w:r>
      <w:r w:rsidR="00055C83" w:rsidRPr="00A548D4">
        <w:rPr>
          <w:highlight w:val="yellow"/>
          <w:lang w:val="es-ES" w:eastAsia="es-MX"/>
        </w:rPr>
        <w:t>identificaron</w:t>
      </w:r>
      <w:r w:rsidR="00BB474F" w:rsidRPr="00A548D4">
        <w:rPr>
          <w:highlight w:val="yellow"/>
          <w:lang w:val="es-ES" w:eastAsia="es-MX"/>
        </w:rPr>
        <w:t xml:space="preserve"> astrocitos</w:t>
      </w:r>
      <w:r w:rsidR="00204F0A" w:rsidRPr="00A548D4">
        <w:rPr>
          <w:highlight w:val="yellow"/>
          <w:lang w:val="es-ES" w:eastAsia="es-MX"/>
        </w:rPr>
        <w:t xml:space="preserve"> [</w:t>
      </w:r>
      <w:r w:rsidR="00FE1C3F" w:rsidRPr="00A548D4">
        <w:rPr>
          <w:highlight w:val="yellow"/>
          <w:lang w:val="es-ES" w:eastAsia="es-MX"/>
        </w:rPr>
        <w:t>10</w:t>
      </w:r>
      <w:r w:rsidR="00204F0A" w:rsidRPr="00A548D4">
        <w:rPr>
          <w:highlight w:val="yellow"/>
          <w:lang w:val="es-ES" w:eastAsia="es-MX"/>
        </w:rPr>
        <w:t>, 1</w:t>
      </w:r>
      <w:r w:rsidR="00FE1C3F" w:rsidRPr="00A548D4">
        <w:rPr>
          <w:highlight w:val="yellow"/>
          <w:lang w:val="es-ES" w:eastAsia="es-MX"/>
        </w:rPr>
        <w:t>1</w:t>
      </w:r>
      <w:r w:rsidR="009B22D2" w:rsidRPr="00A548D4">
        <w:rPr>
          <w:highlight w:val="yellow"/>
          <w:lang w:val="es-ES" w:eastAsia="es-MX"/>
        </w:rPr>
        <w:t>]</w:t>
      </w:r>
      <w:r w:rsidR="00BB474F" w:rsidRPr="00A548D4">
        <w:rPr>
          <w:highlight w:val="yellow"/>
          <w:lang w:val="es-ES" w:eastAsia="es-MX"/>
        </w:rPr>
        <w:t xml:space="preserve"> marcados con anticuerpos </w:t>
      </w:r>
      <w:r w:rsidR="00CF1A53" w:rsidRPr="00A548D4">
        <w:rPr>
          <w:highlight w:val="yellow"/>
          <w:lang w:val="es-ES" w:eastAsia="es-MX"/>
        </w:rPr>
        <w:t>r</w:t>
      </w:r>
      <w:r w:rsidR="001F28E9" w:rsidRPr="00A548D4">
        <w:rPr>
          <w:highlight w:val="yellow"/>
          <w:lang w:val="es-ES" w:eastAsia="es-MX"/>
        </w:rPr>
        <w:t xml:space="preserve">abbit </w:t>
      </w:r>
      <w:r w:rsidR="00BB474F" w:rsidRPr="00A548D4">
        <w:rPr>
          <w:highlight w:val="yellow"/>
          <w:lang w:val="es-ES" w:eastAsia="es-MX"/>
        </w:rPr>
        <w:t>anti-GFAP</w:t>
      </w:r>
      <w:r w:rsidR="00CF1A53" w:rsidRPr="00A548D4">
        <w:rPr>
          <w:highlight w:val="yellow"/>
          <w:lang w:val="es-ES" w:eastAsia="es-MX"/>
        </w:rPr>
        <w:t xml:space="preserve"> </w:t>
      </w:r>
      <w:r w:rsidR="00055C83" w:rsidRPr="00A548D4">
        <w:rPr>
          <w:highlight w:val="yellow"/>
          <w:lang w:val="es-ES" w:eastAsia="es-MX"/>
        </w:rPr>
        <w:t xml:space="preserve">(anticuerpos para proteína fibrilar acídica de la glía, GFAP por sus siglas en inglés) </w:t>
      </w:r>
      <w:r w:rsidR="00CF1A53" w:rsidRPr="00A548D4">
        <w:rPr>
          <w:highlight w:val="yellow"/>
          <w:lang w:val="es-ES" w:eastAsia="es-MX"/>
        </w:rPr>
        <w:t>(Invitrogen</w:t>
      </w:r>
      <w:r w:rsidR="00055C83" w:rsidRPr="00A548D4">
        <w:rPr>
          <w:highlight w:val="yellow"/>
          <w:lang w:val="es-ES" w:eastAsia="es-MX"/>
        </w:rPr>
        <w:t>®) en</w:t>
      </w:r>
      <w:r w:rsidR="00CF1A53" w:rsidRPr="00A548D4">
        <w:rPr>
          <w:highlight w:val="yellow"/>
          <w:lang w:val="es-ES" w:eastAsia="es-MX"/>
        </w:rPr>
        <w:t xml:space="preserve"> solución TBS-2% BSA.</w:t>
      </w:r>
      <w:r w:rsidR="00095F49" w:rsidRPr="00A548D4">
        <w:rPr>
          <w:highlight w:val="yellow"/>
          <w:lang w:val="es-ES" w:eastAsia="es-MX"/>
        </w:rPr>
        <w:t xml:space="preserve"> </w:t>
      </w:r>
      <w:r w:rsidR="00CF1A53" w:rsidRPr="00A548D4">
        <w:rPr>
          <w:highlight w:val="yellow"/>
          <w:lang w:val="es-ES" w:eastAsia="es-MX"/>
        </w:rPr>
        <w:t>Posteriormente, se incubaron durante 1 hora a temperatura ambiente con</w:t>
      </w:r>
      <w:r w:rsidR="001F28E9" w:rsidRPr="00A548D4">
        <w:rPr>
          <w:highlight w:val="yellow"/>
          <w:lang w:val="es-ES" w:eastAsia="es-MX"/>
        </w:rPr>
        <w:t xml:space="preserve"> Alexa Fluor® 594</w:t>
      </w:r>
      <w:r w:rsidR="00CF1A53" w:rsidRPr="00A548D4">
        <w:rPr>
          <w:highlight w:val="yellow"/>
          <w:lang w:val="es-ES" w:eastAsia="es-MX"/>
        </w:rPr>
        <w:t xml:space="preserve"> goat</w:t>
      </w:r>
      <w:r w:rsidR="001F28E9" w:rsidRPr="00A548D4">
        <w:rPr>
          <w:highlight w:val="yellow"/>
          <w:lang w:val="es-ES" w:eastAsia="es-MX"/>
        </w:rPr>
        <w:t xml:space="preserve"> anti-rabbit IgG</w:t>
      </w:r>
      <w:r w:rsidR="00CF1A53" w:rsidRPr="00A548D4">
        <w:rPr>
          <w:highlight w:val="yellow"/>
          <w:lang w:val="es-ES" w:eastAsia="es-MX"/>
        </w:rPr>
        <w:t xml:space="preserve"> (Molecular Probes, OR) diluido en solución TBS-2% BSA. S</w:t>
      </w:r>
      <w:r w:rsidR="00095F49" w:rsidRPr="00A548D4">
        <w:rPr>
          <w:highlight w:val="yellow"/>
          <w:lang w:val="es-ES" w:eastAsia="es-MX"/>
        </w:rPr>
        <w:t>e tiñeron núcleos con DAPI y se observaron en microscopio de fluorescencia, modelo</w:t>
      </w:r>
      <w:r w:rsidR="001F28E9" w:rsidRPr="00A548D4">
        <w:rPr>
          <w:highlight w:val="yellow"/>
          <w:lang w:val="es-ES" w:eastAsia="es-MX"/>
        </w:rPr>
        <w:t xml:space="preserve"> Olympus DP71 (Nikon Instruments Inc., NY)</w:t>
      </w:r>
      <w:r w:rsidR="008C39EB" w:rsidRPr="00A548D4">
        <w:rPr>
          <w:highlight w:val="yellow"/>
          <w:lang w:val="es-ES" w:eastAsia="es-MX"/>
        </w:rPr>
        <w:t>.</w:t>
      </w:r>
    </w:p>
    <w:p w14:paraId="1E0A8483" w14:textId="10062A75" w:rsidR="007E3E1C" w:rsidRDefault="00EA2FE5" w:rsidP="007E3E1C">
      <w:pPr>
        <w:pStyle w:val="Ttulo1"/>
        <w:rPr>
          <w:lang w:val="es-MX"/>
        </w:rPr>
      </w:pPr>
      <w:r w:rsidRPr="008C39EB">
        <w:rPr>
          <w:lang w:val="es-MX"/>
        </w:rPr>
        <w:t>Resultados</w:t>
      </w:r>
    </w:p>
    <w:p w14:paraId="5797883E" w14:textId="77777777" w:rsidR="004A5357" w:rsidRPr="004A5357" w:rsidRDefault="004A5357" w:rsidP="004A5357">
      <w:pPr>
        <w:rPr>
          <w:lang w:val="es-MX"/>
        </w:rPr>
      </w:pPr>
    </w:p>
    <w:p w14:paraId="53DEE0F1" w14:textId="6EADE966" w:rsidR="00EA2FE5" w:rsidRDefault="00557C5E" w:rsidP="005A3F62">
      <w:pPr>
        <w:adjustRightInd w:val="0"/>
        <w:ind w:firstLine="144"/>
        <w:rPr>
          <w:i/>
          <w:lang w:val="es-ES_tradnl" w:eastAsia="es-MX"/>
        </w:rPr>
      </w:pPr>
      <w:r w:rsidRPr="009E4D21">
        <w:rPr>
          <w:i/>
          <w:highlight w:val="yellow"/>
          <w:lang w:val="es-ES_tradnl" w:eastAsia="es-MX"/>
        </w:rPr>
        <w:t>Efecto de la inoculación sistémica de LPS en la conducta</w:t>
      </w:r>
    </w:p>
    <w:p w14:paraId="1C0D283A" w14:textId="224F2DF4" w:rsidR="004A5357" w:rsidRPr="004A5357" w:rsidRDefault="004A5357" w:rsidP="004A5357">
      <w:pPr>
        <w:adjustRightInd w:val="0"/>
        <w:rPr>
          <w:i/>
          <w:lang w:val="es-ES_tradnl" w:eastAsia="es-MX"/>
        </w:rPr>
      </w:pPr>
    </w:p>
    <w:p w14:paraId="28686A80" w14:textId="77777777" w:rsidR="00EA2FE5" w:rsidRPr="00C569B4" w:rsidRDefault="00EA2FE5" w:rsidP="00EA2FE5">
      <w:pPr>
        <w:adjustRightInd w:val="0"/>
        <w:ind w:firstLine="144"/>
        <w:rPr>
          <w:b/>
          <w:i/>
          <w:sz w:val="2"/>
          <w:szCs w:val="2"/>
          <w:lang w:val="es-ES_tradnl" w:eastAsia="es-MX"/>
        </w:rPr>
      </w:pPr>
    </w:p>
    <w:p w14:paraId="53EB43AE" w14:textId="4960C6F1" w:rsidR="00AF0212" w:rsidRPr="00697BA9" w:rsidRDefault="00BA6CD0" w:rsidP="00EA2FE5">
      <w:pPr>
        <w:adjustRightInd w:val="0"/>
        <w:jc w:val="both"/>
        <w:rPr>
          <w:lang w:val="es-MX" w:eastAsia="es-MX"/>
        </w:rPr>
      </w:pPr>
      <w:r>
        <w:rPr>
          <w:lang w:val="es-MX" w:eastAsia="es-MX"/>
        </w:rPr>
        <w:t xml:space="preserve">Posterior al tratamiento, no </w:t>
      </w:r>
      <w:r w:rsidR="00EA2FE5" w:rsidRPr="002B52B9">
        <w:rPr>
          <w:lang w:val="es-MX" w:eastAsia="es-MX"/>
        </w:rPr>
        <w:t>se observaron diferencias significat</w:t>
      </w:r>
      <w:r>
        <w:rPr>
          <w:lang w:val="es-MX" w:eastAsia="es-MX"/>
        </w:rPr>
        <w:t xml:space="preserve">ivas en el promedio de </w:t>
      </w:r>
      <w:r w:rsidRPr="00BE44E7">
        <w:rPr>
          <w:lang w:val="es-MX" w:eastAsia="es-MX"/>
        </w:rPr>
        <w:t>desplazamientos entre el t1 y t2 de los grupos ST y SSI. S</w:t>
      </w:r>
      <w:r w:rsidR="00EA2FE5" w:rsidRPr="00BE44E7">
        <w:rPr>
          <w:lang w:val="es-MX" w:eastAsia="es-MX"/>
        </w:rPr>
        <w:t>in embargo,</w:t>
      </w:r>
      <w:r w:rsidR="00EA2FE5" w:rsidRPr="002B52B9">
        <w:rPr>
          <w:lang w:val="es-MX" w:eastAsia="es-MX"/>
        </w:rPr>
        <w:t xml:space="preserve"> sí se encontró diferencia significativa entre el grupo LPS y los grupos ST y SSI posterior al tratamiento. </w:t>
      </w:r>
      <w:r w:rsidR="00936138">
        <w:rPr>
          <w:lang w:val="es-MX" w:eastAsia="es-MX"/>
        </w:rPr>
        <w:t>(</w:t>
      </w:r>
      <w:r w:rsidR="00936138" w:rsidRPr="001F28E9">
        <w:rPr>
          <w:i/>
          <w:lang w:val="es-MX" w:eastAsia="es-MX"/>
        </w:rPr>
        <w:t>p</w:t>
      </w:r>
      <w:r w:rsidR="00936138">
        <w:rPr>
          <w:lang w:val="es-MX" w:eastAsia="es-MX"/>
        </w:rPr>
        <w:t>&lt;0.0001) (Fig. 1</w:t>
      </w:r>
      <w:r w:rsidR="00EA2FE5" w:rsidRPr="00697BA9">
        <w:rPr>
          <w:lang w:val="es-MX" w:eastAsia="es-MX"/>
        </w:rPr>
        <w:t>).</w:t>
      </w:r>
    </w:p>
    <w:p w14:paraId="24ECF443" w14:textId="77777777" w:rsidR="00823908" w:rsidRPr="00655118" w:rsidRDefault="00BF4446" w:rsidP="005A3F62">
      <w:pPr>
        <w:adjustRightInd w:val="0"/>
        <w:jc w:val="both"/>
        <w:rPr>
          <w:sz w:val="18"/>
          <w:szCs w:val="18"/>
          <w:lang w:val="es-MX" w:eastAsia="es-MX"/>
        </w:rPr>
      </w:pPr>
      <w:r>
        <w:rPr>
          <w:i/>
          <w:lang w:eastAsia="es-MX"/>
        </w:rPr>
        <w:pict w14:anchorId="15620AF2">
          <v:shape id="Text Box 8" o:spid="_x0000_s1036" type="#_x0000_t202" style="position:absolute;left:0;text-align:left;margin-left:-.45pt;margin-top:129.25pt;width:258.4pt;height:54.6pt;z-index:251662336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" filled="f" fillcolor="#069" stroked="f" strokeweight="2pt">
            <v:textbox style="mso-next-textbox:#Text Box 8" inset="2.88pt,2.88pt,2.88pt,2.88pt">
              <w:txbxContent>
                <w:p w14:paraId="7F3FE7BF" w14:textId="4FC3242B" w:rsidR="00087DA0" w:rsidRPr="00EC2E4B" w:rsidRDefault="00087DA0" w:rsidP="00087DA0">
                  <w:pPr>
                    <w:pStyle w:val="NormalWeb"/>
                    <w:kinsoku w:val="0"/>
                    <w:overflowPunct w:val="0"/>
                    <w:spacing w:before="0" w:beforeAutospacing="0" w:after="0" w:afterAutospacing="0"/>
                    <w:jc w:val="both"/>
                    <w:textAlignment w:val="baseline"/>
                    <w:rPr>
                      <w:sz w:val="18"/>
                      <w:szCs w:val="20"/>
                      <w:lang w:val="es-ES"/>
                    </w:rPr>
                  </w:pPr>
                  <w:r w:rsidRPr="00300E19">
                    <w:rPr>
                      <w:sz w:val="18"/>
                      <w:szCs w:val="20"/>
                      <w:lang w:val="es-ES"/>
                    </w:rPr>
                    <w:t>F</w:t>
                  </w:r>
                  <w:r w:rsidR="00300E19">
                    <w:rPr>
                      <w:sz w:val="18"/>
                      <w:szCs w:val="20"/>
                      <w:lang w:val="es-ES"/>
                    </w:rPr>
                    <w:t>ig 1</w:t>
                  </w:r>
                  <w:r w:rsidRPr="00300E19">
                    <w:rPr>
                      <w:sz w:val="18"/>
                      <w:szCs w:val="20"/>
                      <w:lang w:val="es-ES"/>
                    </w:rPr>
                    <w:t xml:space="preserve">. </w:t>
                  </w:r>
                  <w:r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 xml:space="preserve">Promedio de </w:t>
                  </w:r>
                  <w:r w:rsidR="00EB7DB9"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 xml:space="preserve">desplazamientos </w:t>
                  </w:r>
                  <w:r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>previos y posteriores al tratamiento. Prueba estadística utilizada: Tstudent *</w:t>
                  </w:r>
                  <w:r w:rsidRPr="009E4D21">
                    <w:rPr>
                      <w:i/>
                      <w:sz w:val="18"/>
                      <w:szCs w:val="20"/>
                      <w:highlight w:val="yellow"/>
                      <w:lang w:val="es-ES"/>
                    </w:rPr>
                    <w:t>p</w:t>
                  </w:r>
                  <w:r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 xml:space="preserve">=.01 comparando el promedio de </w:t>
                  </w:r>
                  <w:r w:rsidR="00300E19"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>desplazamientos</w:t>
                  </w:r>
                  <w:r w:rsidR="00CC5630"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 xml:space="preserve"> en el grupo LPS. </w:t>
                  </w:r>
                  <w:r w:rsidR="00EC2E4B"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 xml:space="preserve">Tstudent comparando los desplazamientos en LPS vs ST y SSI </w:t>
                  </w:r>
                  <w:r w:rsidR="00EC2E4B" w:rsidRPr="009E4D21">
                    <w:rPr>
                      <w:i/>
                      <w:sz w:val="18"/>
                      <w:szCs w:val="20"/>
                      <w:highlight w:val="yellow"/>
                      <w:lang w:val="es-ES"/>
                    </w:rPr>
                    <w:t>p</w:t>
                  </w:r>
                  <w:r w:rsidR="00EC2E4B"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>&lt;.01</w:t>
                  </w:r>
                  <w:r w:rsidR="00EC2E4B">
                    <w:rPr>
                      <w:sz w:val="18"/>
                      <w:szCs w:val="20"/>
                      <w:lang w:val="es-ES"/>
                    </w:rPr>
                    <w:t>.</w:t>
                  </w:r>
                </w:p>
              </w:txbxContent>
            </v:textbox>
          </v:shape>
        </w:pict>
      </w:r>
      <w:r w:rsidR="00087DA0">
        <w:rPr>
          <w:noProof/>
          <w:lang w:val="es-MX" w:eastAsia="es-MX"/>
        </w:rPr>
        <w:drawing>
          <wp:inline distT="0" distB="0" distL="0" distR="0" wp14:anchorId="6D4A9F4F" wp14:editId="41495D4D">
            <wp:extent cx="3182620" cy="173908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1636A6F" w14:textId="77777777" w:rsidR="00541D2F" w:rsidRDefault="00541D2F" w:rsidP="005A3F62">
      <w:pPr>
        <w:adjustRightInd w:val="0"/>
        <w:ind w:firstLine="144"/>
        <w:rPr>
          <w:i/>
          <w:lang w:val="es-ES_tradnl" w:eastAsia="es-MX"/>
        </w:rPr>
      </w:pPr>
    </w:p>
    <w:p w14:paraId="4DF6F1BA" w14:textId="77777777" w:rsidR="00087DA0" w:rsidRDefault="00087DA0" w:rsidP="005A3F62">
      <w:pPr>
        <w:adjustRightInd w:val="0"/>
        <w:ind w:firstLine="144"/>
        <w:rPr>
          <w:i/>
          <w:lang w:val="es-ES_tradnl" w:eastAsia="es-MX"/>
        </w:rPr>
      </w:pPr>
    </w:p>
    <w:p w14:paraId="15A43867" w14:textId="77777777" w:rsidR="00087DA0" w:rsidRDefault="00087DA0" w:rsidP="00300E19">
      <w:pPr>
        <w:adjustRightInd w:val="0"/>
        <w:rPr>
          <w:i/>
          <w:lang w:val="es-ES_tradnl" w:eastAsia="es-MX"/>
        </w:rPr>
      </w:pPr>
    </w:p>
    <w:p w14:paraId="2009CDF4" w14:textId="6957A2F0" w:rsidR="00EB7DB9" w:rsidRDefault="00EB7DB9" w:rsidP="005A3F62">
      <w:pPr>
        <w:adjustRightInd w:val="0"/>
        <w:ind w:firstLine="144"/>
        <w:rPr>
          <w:i/>
          <w:lang w:val="es-ES_tradnl" w:eastAsia="es-MX"/>
        </w:rPr>
      </w:pPr>
    </w:p>
    <w:p w14:paraId="23B300C3" w14:textId="58E92251" w:rsidR="00EA2FE5" w:rsidRDefault="007E3E1C" w:rsidP="005A3F62">
      <w:pPr>
        <w:adjustRightInd w:val="0"/>
        <w:ind w:firstLine="144"/>
        <w:rPr>
          <w:i/>
          <w:lang w:val="es-ES_tradnl" w:eastAsia="es-MX"/>
        </w:rPr>
      </w:pPr>
      <w:r w:rsidRPr="009E4D21">
        <w:rPr>
          <w:i/>
          <w:highlight w:val="yellow"/>
          <w:lang w:val="es-ES_tradnl" w:eastAsia="es-MX"/>
        </w:rPr>
        <w:t>Concentración de citocinas en compartimentos corporales tras la inoculación sistémica de LPS</w:t>
      </w:r>
    </w:p>
    <w:p w14:paraId="02D673AB" w14:textId="77777777" w:rsidR="007E3E1C" w:rsidRPr="001B53EC" w:rsidRDefault="007E3E1C" w:rsidP="005A3F62">
      <w:pPr>
        <w:adjustRightInd w:val="0"/>
        <w:ind w:firstLine="144"/>
        <w:rPr>
          <w:i/>
          <w:lang w:val="es-ES_tradnl" w:eastAsia="es-MX"/>
        </w:rPr>
      </w:pPr>
    </w:p>
    <w:p w14:paraId="25310DBC" w14:textId="77777777" w:rsidR="00EA2FE5" w:rsidRPr="00EB7DB9" w:rsidRDefault="00EA2FE5" w:rsidP="00EA2FE5">
      <w:pPr>
        <w:adjustRightInd w:val="0"/>
        <w:rPr>
          <w:sz w:val="2"/>
          <w:szCs w:val="2"/>
          <w:lang w:val="es-ES_tradnl" w:eastAsia="es-MX"/>
        </w:rPr>
      </w:pPr>
    </w:p>
    <w:p w14:paraId="65E8B76B" w14:textId="7977A015" w:rsidR="00655118" w:rsidRDefault="00655118" w:rsidP="00655118">
      <w:pPr>
        <w:adjustRightInd w:val="0"/>
        <w:jc w:val="both"/>
        <w:rPr>
          <w:lang w:val="es-MX" w:eastAsia="es-MX"/>
        </w:rPr>
      </w:pPr>
      <w:r>
        <w:rPr>
          <w:lang w:val="es-MX" w:eastAsia="es-MX"/>
        </w:rPr>
        <w:t>Se observó</w:t>
      </w:r>
      <w:r w:rsidR="00EA2FE5" w:rsidRPr="003C5AD3">
        <w:rPr>
          <w:lang w:val="es-MX" w:eastAsia="es-MX"/>
        </w:rPr>
        <w:t xml:space="preserve"> incremento de TNF</w:t>
      </w:r>
      <w:r w:rsidR="00EA2FE5" w:rsidRPr="001B53EC">
        <w:rPr>
          <w:lang w:eastAsia="es-MX"/>
        </w:rPr>
        <w:t>α</w:t>
      </w:r>
      <w:r w:rsidR="00EA2FE5">
        <w:rPr>
          <w:lang w:val="es-MX" w:eastAsia="es-MX"/>
        </w:rPr>
        <w:t xml:space="preserve"> en suero </w:t>
      </w:r>
      <w:r w:rsidR="00EA2FE5" w:rsidRPr="003C5AD3">
        <w:rPr>
          <w:lang w:val="es-MX" w:eastAsia="es-MX"/>
        </w:rPr>
        <w:t>y bazo</w:t>
      </w:r>
      <w:r>
        <w:rPr>
          <w:lang w:val="es-MX" w:eastAsia="es-MX"/>
        </w:rPr>
        <w:t xml:space="preserve"> en el</w:t>
      </w:r>
      <w:r w:rsidR="00EA2FE5">
        <w:rPr>
          <w:lang w:val="es-MX" w:eastAsia="es-MX"/>
        </w:rPr>
        <w:t xml:space="preserve"> grupo LPS en comparación con los grupos ST y SSI</w:t>
      </w:r>
      <w:r>
        <w:rPr>
          <w:lang w:val="es-MX" w:eastAsia="es-MX"/>
        </w:rPr>
        <w:t xml:space="preserve"> (</w:t>
      </w:r>
      <w:r>
        <w:rPr>
          <w:i/>
          <w:lang w:val="es-MX" w:eastAsia="es-MX"/>
        </w:rPr>
        <w:t>p</w:t>
      </w:r>
      <w:r w:rsidR="00EA2FE5" w:rsidRPr="003C5AD3">
        <w:rPr>
          <w:lang w:val="es-MX" w:eastAsia="es-MX"/>
        </w:rPr>
        <w:t xml:space="preserve">&lt;0.01). No se encontró diferencia </w:t>
      </w:r>
      <w:r w:rsidR="00EA2FE5">
        <w:rPr>
          <w:lang w:val="es-MX" w:eastAsia="es-MX"/>
        </w:rPr>
        <w:t>significativa entre los grupos</w:t>
      </w:r>
      <w:r w:rsidR="00EA2FE5" w:rsidRPr="003C5AD3">
        <w:rPr>
          <w:lang w:val="es-MX" w:eastAsia="es-MX"/>
        </w:rPr>
        <w:t xml:space="preserve"> SSI y ST. </w:t>
      </w:r>
      <w:r w:rsidR="00936138">
        <w:rPr>
          <w:lang w:val="es-MX" w:eastAsia="es-MX"/>
        </w:rPr>
        <w:t>(Fig. 2</w:t>
      </w:r>
      <w:r w:rsidR="00EA2FE5" w:rsidRPr="00956BBC">
        <w:rPr>
          <w:lang w:val="es-MX" w:eastAsia="es-MX"/>
        </w:rPr>
        <w:t>).</w:t>
      </w:r>
      <w:r w:rsidR="00297836" w:rsidRPr="00297836">
        <w:rPr>
          <w:noProof/>
          <w:lang w:val="es-MX" w:eastAsia="es-MX"/>
        </w:rPr>
        <w:t xml:space="preserve"> </w:t>
      </w:r>
      <w:r w:rsidR="007E3E1C" w:rsidRPr="007E3E1C">
        <w:rPr>
          <w:noProof/>
          <w:lang w:val="es-MX" w:eastAsia="es-MX"/>
        </w:rPr>
        <w:t>Se observó de igual manera</w:t>
      </w:r>
      <w:r w:rsidR="003B7CD7" w:rsidRPr="007E3E1C">
        <w:rPr>
          <w:noProof/>
          <w:lang w:val="es-MX" w:eastAsia="es-MX"/>
        </w:rPr>
        <w:t xml:space="preserve"> un incremento de TNF</w:t>
      </w:r>
      <w:r w:rsidR="007E3E1C" w:rsidRPr="007E3E1C">
        <w:rPr>
          <w:lang w:eastAsia="es-MX"/>
        </w:rPr>
        <w:t>α</w:t>
      </w:r>
      <w:r w:rsidR="003B7CD7" w:rsidRPr="007E3E1C">
        <w:rPr>
          <w:noProof/>
          <w:lang w:val="es-MX" w:eastAsia="es-MX"/>
        </w:rPr>
        <w:t xml:space="preserve"> </w:t>
      </w:r>
      <w:r w:rsidR="003B7CD7" w:rsidRPr="007E3E1C">
        <w:rPr>
          <w:noProof/>
          <w:lang w:val="es-MX" w:eastAsia="es-MX"/>
        </w:rPr>
        <w:lastRenderedPageBreak/>
        <w:t>en los ratones tratados con LPS</w:t>
      </w:r>
      <w:r w:rsidR="007E3E1C" w:rsidRPr="007E3E1C">
        <w:rPr>
          <w:noProof/>
          <w:lang w:val="es-MX" w:eastAsia="es-MX"/>
        </w:rPr>
        <w:t xml:space="preserve">, presentando </w:t>
      </w:r>
      <w:r w:rsidR="003B7CD7" w:rsidRPr="007E3E1C">
        <w:rPr>
          <w:noProof/>
          <w:lang w:val="es-MX" w:eastAsia="es-MX"/>
        </w:rPr>
        <w:t xml:space="preserve">difrencia </w:t>
      </w:r>
      <w:r w:rsidR="007E3E1C" w:rsidRPr="007E3E1C">
        <w:rPr>
          <w:noProof/>
          <w:lang w:val="es-MX" w:eastAsia="es-MX"/>
        </w:rPr>
        <w:t xml:space="preserve">estadísitca </w:t>
      </w:r>
      <w:r w:rsidR="003B7CD7" w:rsidRPr="007E3E1C">
        <w:rPr>
          <w:noProof/>
          <w:lang w:val="es-MX" w:eastAsia="es-MX"/>
        </w:rPr>
        <w:t xml:space="preserve">significativa, </w:t>
      </w:r>
      <w:r w:rsidR="007E3E1C" w:rsidRPr="007E3E1C">
        <w:rPr>
          <w:noProof/>
          <w:lang w:val="es-MX" w:eastAsia="es-MX"/>
        </w:rPr>
        <w:t>al comprararlos</w:t>
      </w:r>
      <w:r w:rsidR="003B7CD7" w:rsidRPr="007E3E1C">
        <w:rPr>
          <w:noProof/>
          <w:lang w:val="es-MX" w:eastAsia="es-MX"/>
        </w:rPr>
        <w:t xml:space="preserve"> </w:t>
      </w:r>
      <w:r w:rsidR="007E3E1C" w:rsidRPr="007E3E1C">
        <w:rPr>
          <w:noProof/>
          <w:lang w:val="es-MX" w:eastAsia="es-MX"/>
        </w:rPr>
        <w:t>con los otros grupos experimentales ST y SSI.</w:t>
      </w:r>
      <w:r w:rsidR="003B7CD7">
        <w:rPr>
          <w:noProof/>
          <w:lang w:val="es-MX" w:eastAsia="es-MX"/>
        </w:rPr>
        <w:t xml:space="preserve"> </w:t>
      </w:r>
    </w:p>
    <w:p w14:paraId="2BD160B5" w14:textId="6DB7E742" w:rsidR="00655118" w:rsidRDefault="007E3E1C" w:rsidP="00655118">
      <w:pPr>
        <w:adjustRightInd w:val="0"/>
        <w:jc w:val="both"/>
        <w:rPr>
          <w:lang w:val="es-MX" w:eastAsia="es-MX"/>
        </w:rPr>
      </w:pPr>
      <w:r>
        <w:rPr>
          <w:lang w:val="es-MX" w:eastAsia="es-MX"/>
        </w:rPr>
        <w:t xml:space="preserve"> </w:t>
      </w:r>
    </w:p>
    <w:p w14:paraId="1A77DB9E" w14:textId="0AC8CC37" w:rsidR="00541D2F" w:rsidRDefault="00BF4446" w:rsidP="004F0710">
      <w:pPr>
        <w:adjustRightInd w:val="0"/>
        <w:ind w:left="202" w:hanging="202"/>
        <w:jc w:val="both"/>
        <w:rPr>
          <w:lang w:val="es-MX" w:eastAsia="es-MX"/>
        </w:rPr>
      </w:pPr>
      <w:r>
        <w:rPr>
          <w:noProof/>
          <w:lang w:val="es-MX" w:eastAsia="es-MX"/>
        </w:rPr>
        <w:pict w14:anchorId="25FC7DD4">
          <v:shape id="_x0000_s1039" type="#_x0000_t202" style="position:absolute;left:0;text-align:left;margin-left:-.45pt;margin-top:127.75pt;width:250.9pt;height:48.85pt;z-index:251663360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" filled="f" fillcolor="#069" stroked="f" strokeweight="2pt">
            <v:textbox style="mso-next-textbox:#_x0000_s1039" inset="2.88pt,2.88pt,2.88pt,2.88pt">
              <w:txbxContent>
                <w:p w14:paraId="186DDF31" w14:textId="47DCB750" w:rsidR="00303660" w:rsidRPr="00EC2E4B" w:rsidRDefault="00303660" w:rsidP="00303660">
                  <w:pPr>
                    <w:pStyle w:val="NormalWeb"/>
                    <w:kinsoku w:val="0"/>
                    <w:overflowPunct w:val="0"/>
                    <w:spacing w:before="0" w:beforeAutospacing="0" w:after="0" w:afterAutospacing="0"/>
                    <w:jc w:val="both"/>
                    <w:textAlignment w:val="baseline"/>
                    <w:rPr>
                      <w:sz w:val="18"/>
                      <w:szCs w:val="20"/>
                      <w:lang w:val="es-ES"/>
                    </w:rPr>
                  </w:pPr>
                  <w:r w:rsidRPr="00300E19">
                    <w:rPr>
                      <w:sz w:val="18"/>
                      <w:szCs w:val="20"/>
                      <w:lang w:val="es-ES"/>
                    </w:rPr>
                    <w:t>F</w:t>
                  </w:r>
                  <w:r>
                    <w:rPr>
                      <w:sz w:val="18"/>
                      <w:szCs w:val="20"/>
                      <w:lang w:val="es-ES"/>
                    </w:rPr>
                    <w:t xml:space="preserve">ig 2. </w:t>
                  </w:r>
                  <w:r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 xml:space="preserve">Concentración promedio de TNFα en suero, cerebro y bazo en los tres grupos experimentales. Prueba estadística utilizada: ANOVA *p &lt;.05 comparando TNFα en sangre. **p &lt;.05 comparando TNFα en bazo.  </w:t>
                  </w:r>
                  <w:r w:rsidR="008139CF"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 xml:space="preserve">TNFα en LPS vs ST y SSI </w:t>
                  </w:r>
                  <w:r w:rsidR="008139CF" w:rsidRPr="009E4D21">
                    <w:rPr>
                      <w:i/>
                      <w:sz w:val="18"/>
                      <w:szCs w:val="20"/>
                      <w:highlight w:val="yellow"/>
                      <w:lang w:val="es-ES"/>
                    </w:rPr>
                    <w:t>p</w:t>
                  </w:r>
                  <w:r w:rsidR="008139CF"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>&lt;.01.</w:t>
                  </w:r>
                </w:p>
              </w:txbxContent>
            </v:textbox>
          </v:shape>
        </w:pict>
      </w:r>
      <w:r w:rsidR="00303660">
        <w:rPr>
          <w:noProof/>
          <w:lang w:val="es-MX" w:eastAsia="es-MX"/>
        </w:rPr>
        <w:drawing>
          <wp:inline distT="0" distB="0" distL="0" distR="0" wp14:anchorId="6273FA71" wp14:editId="6007E3A3">
            <wp:extent cx="3182620" cy="1723224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3310A67" w14:textId="77777777" w:rsidR="004934C3" w:rsidRDefault="004934C3" w:rsidP="00655118">
      <w:pPr>
        <w:adjustRightInd w:val="0"/>
        <w:jc w:val="both"/>
        <w:rPr>
          <w:lang w:val="es-MX" w:eastAsia="es-MX"/>
        </w:rPr>
      </w:pPr>
    </w:p>
    <w:p w14:paraId="29BFD18B" w14:textId="77777777" w:rsidR="003E1D0B" w:rsidRDefault="003E1D0B" w:rsidP="00655118">
      <w:pPr>
        <w:adjustRightInd w:val="0"/>
        <w:jc w:val="both"/>
        <w:rPr>
          <w:lang w:val="es-MX" w:eastAsia="es-MX"/>
        </w:rPr>
      </w:pPr>
    </w:p>
    <w:p w14:paraId="5D448DF6" w14:textId="77777777" w:rsidR="003E1D0B" w:rsidRDefault="003E1D0B" w:rsidP="00655118">
      <w:pPr>
        <w:adjustRightInd w:val="0"/>
        <w:jc w:val="both"/>
        <w:rPr>
          <w:lang w:val="es-MX" w:eastAsia="es-MX"/>
        </w:rPr>
      </w:pPr>
    </w:p>
    <w:p w14:paraId="22E91F39" w14:textId="77777777" w:rsidR="003E1D0B" w:rsidRDefault="003E1D0B" w:rsidP="00655118">
      <w:pPr>
        <w:adjustRightInd w:val="0"/>
        <w:jc w:val="both"/>
        <w:rPr>
          <w:lang w:val="es-MX" w:eastAsia="es-MX"/>
        </w:rPr>
      </w:pPr>
    </w:p>
    <w:p w14:paraId="66AFE9BF" w14:textId="4571A2E5" w:rsidR="0019707D" w:rsidRDefault="0019707D" w:rsidP="00655118">
      <w:pPr>
        <w:adjustRightInd w:val="0"/>
        <w:jc w:val="both"/>
        <w:rPr>
          <w:lang w:val="es-MX" w:eastAsia="es-MX"/>
        </w:rPr>
      </w:pPr>
      <w:r w:rsidRPr="0019707D">
        <w:rPr>
          <w:lang w:val="es-MX" w:eastAsia="es-MX"/>
        </w:rPr>
        <w:t>IL-1</w:t>
      </w:r>
      <w:r w:rsidRPr="001B53EC">
        <w:rPr>
          <w:lang w:eastAsia="es-MX"/>
        </w:rPr>
        <w:t>β</w:t>
      </w:r>
      <w:r w:rsidRPr="0019707D">
        <w:rPr>
          <w:lang w:val="es-MX" w:eastAsia="es-MX"/>
        </w:rPr>
        <w:t xml:space="preserve"> se </w:t>
      </w:r>
      <w:r w:rsidR="004330C9">
        <w:rPr>
          <w:lang w:val="es-MX" w:eastAsia="es-MX"/>
        </w:rPr>
        <w:t>expresó en todos los órganos, encontrándose particularmente</w:t>
      </w:r>
      <w:r w:rsidRPr="0019707D">
        <w:rPr>
          <w:lang w:val="es-MX" w:eastAsia="es-MX"/>
        </w:rPr>
        <w:t xml:space="preserve"> elevada en el bazo de los ratones</w:t>
      </w:r>
      <w:r w:rsidR="00956BBC">
        <w:rPr>
          <w:lang w:val="es-MX" w:eastAsia="es-MX"/>
        </w:rPr>
        <w:t xml:space="preserve"> del grupo LPS</w:t>
      </w:r>
      <w:r w:rsidR="004330C9">
        <w:rPr>
          <w:lang w:val="es-MX" w:eastAsia="es-MX"/>
        </w:rPr>
        <w:t>.</w:t>
      </w:r>
      <w:r w:rsidRPr="0019707D">
        <w:rPr>
          <w:lang w:val="es-MX" w:eastAsia="es-MX"/>
        </w:rPr>
        <w:t xml:space="preserve"> A pesar de que la diferencia no es </w:t>
      </w:r>
      <w:r w:rsidR="00C569B4" w:rsidRPr="00C569B4">
        <w:rPr>
          <w:lang w:val="es-MX" w:eastAsia="es-MX"/>
        </w:rPr>
        <w:t>significativa</w:t>
      </w:r>
      <w:r w:rsidR="00F367BB">
        <w:rPr>
          <w:lang w:val="es-MX" w:eastAsia="es-MX"/>
        </w:rPr>
        <w:t>,</w:t>
      </w:r>
      <w:r w:rsidRPr="0019707D">
        <w:rPr>
          <w:lang w:val="es-MX" w:eastAsia="es-MX"/>
        </w:rPr>
        <w:t xml:space="preserve"> es evidente </w:t>
      </w:r>
      <w:r w:rsidR="001F28E9">
        <w:rPr>
          <w:lang w:val="es-MX" w:eastAsia="es-MX"/>
        </w:rPr>
        <w:t>su incremento con respecto a los grupos ST y SSI</w:t>
      </w:r>
      <w:r w:rsidR="00BC2D2B">
        <w:rPr>
          <w:lang w:val="es-MX" w:eastAsia="es-MX"/>
        </w:rPr>
        <w:t xml:space="preserve"> (Fig. 3</w:t>
      </w:r>
      <w:r w:rsidRPr="0019707D">
        <w:rPr>
          <w:lang w:val="es-MX" w:eastAsia="es-MX"/>
        </w:rPr>
        <w:t>).</w:t>
      </w:r>
      <w:r w:rsidR="00297836" w:rsidRPr="00297836">
        <w:rPr>
          <w:lang w:val="es-MX"/>
        </w:rPr>
        <w:t xml:space="preserve"> </w:t>
      </w:r>
    </w:p>
    <w:p w14:paraId="05A7317C" w14:textId="23E0A257" w:rsidR="0019707D" w:rsidRDefault="00BF4446" w:rsidP="0019707D">
      <w:pPr>
        <w:jc w:val="both"/>
        <w:rPr>
          <w:lang w:val="es-MX" w:eastAsia="es-MX"/>
        </w:rPr>
      </w:pPr>
      <w:r>
        <w:rPr>
          <w:noProof/>
          <w:lang w:val="es-MX" w:eastAsia="es-MX"/>
        </w:rPr>
        <w:pict w14:anchorId="54E45C65">
          <v:shape id="_x0000_s1041" type="#_x0000_t202" style="position:absolute;left:0;text-align:left;margin-left:-.2pt;margin-top:129.6pt;width:250.9pt;height:36.5pt;z-index:25166438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" filled="f" fillcolor="#069" stroked="f" strokeweight="2pt">
            <v:textbox style="mso-next-textbox:#_x0000_s1041" inset="2.88pt,2.88pt,2.88pt,2.88pt">
              <w:txbxContent>
                <w:p w14:paraId="6FB9EDE2" w14:textId="77777777" w:rsidR="00D9784F" w:rsidRPr="00EC2E4B" w:rsidRDefault="003B5B93" w:rsidP="00D9784F">
                  <w:pPr>
                    <w:pStyle w:val="NormalWeb"/>
                    <w:kinsoku w:val="0"/>
                    <w:overflowPunct w:val="0"/>
                    <w:spacing w:before="0" w:beforeAutospacing="0" w:after="0" w:afterAutospacing="0"/>
                    <w:jc w:val="both"/>
                    <w:textAlignment w:val="baseline"/>
                    <w:rPr>
                      <w:sz w:val="18"/>
                      <w:szCs w:val="20"/>
                      <w:lang w:val="es-ES"/>
                    </w:rPr>
                  </w:pPr>
                  <w:r w:rsidRPr="00300E19">
                    <w:rPr>
                      <w:sz w:val="18"/>
                      <w:szCs w:val="20"/>
                      <w:lang w:val="es-ES"/>
                    </w:rPr>
                    <w:t>F</w:t>
                  </w:r>
                  <w:r>
                    <w:rPr>
                      <w:sz w:val="18"/>
                      <w:szCs w:val="20"/>
                      <w:lang w:val="es-ES"/>
                    </w:rPr>
                    <w:t xml:space="preserve">ig 3. </w:t>
                  </w:r>
                  <w:r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>Concentración promedio de IL-1β en suero, cerebro y bazo en los grupos experimentales. Prueba estadística utilizada: ANOVA sin diferencia significativa</w:t>
                  </w:r>
                  <w:r w:rsidR="00D9784F"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 xml:space="preserve"> comparando</w:t>
                  </w:r>
                  <w:r w:rsidR="00D9784F" w:rsidRPr="009E4D21">
                    <w:rPr>
                      <w:highlight w:val="yellow"/>
                    </w:rPr>
                    <w:t xml:space="preserve"> </w:t>
                  </w:r>
                  <w:r w:rsidR="00D9784F" w:rsidRPr="009E4D21">
                    <w:rPr>
                      <w:sz w:val="18"/>
                      <w:szCs w:val="20"/>
                      <w:highlight w:val="yellow"/>
                      <w:lang w:val="es-ES"/>
                    </w:rPr>
                    <w:t>IL-1β en LPS vs ST y SSI.</w:t>
                  </w:r>
                </w:p>
                <w:p w14:paraId="196C9A02" w14:textId="5C5ECC2E" w:rsidR="003B5B93" w:rsidRPr="00EC2E4B" w:rsidRDefault="003B5B93" w:rsidP="003B5B93">
                  <w:pPr>
                    <w:pStyle w:val="NormalWeb"/>
                    <w:kinsoku w:val="0"/>
                    <w:overflowPunct w:val="0"/>
                    <w:spacing w:before="0" w:beforeAutospacing="0" w:after="0" w:afterAutospacing="0"/>
                    <w:jc w:val="both"/>
                    <w:textAlignment w:val="baseline"/>
                    <w:rPr>
                      <w:sz w:val="18"/>
                      <w:szCs w:val="20"/>
                      <w:lang w:val="es-ES"/>
                    </w:rPr>
                  </w:pPr>
                </w:p>
              </w:txbxContent>
            </v:textbox>
          </v:shape>
        </w:pict>
      </w:r>
      <w:r w:rsidR="003B5B93">
        <w:rPr>
          <w:noProof/>
          <w:lang w:val="es-MX" w:eastAsia="es-MX"/>
        </w:rPr>
        <w:drawing>
          <wp:inline distT="0" distB="0" distL="0" distR="0" wp14:anchorId="57B96695" wp14:editId="7EA13E70">
            <wp:extent cx="3182620" cy="1721424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A222781" w14:textId="07977988" w:rsidR="00541D2F" w:rsidRDefault="00541D2F" w:rsidP="0019707D">
      <w:pPr>
        <w:jc w:val="both"/>
        <w:rPr>
          <w:lang w:val="es-MX" w:eastAsia="es-MX"/>
        </w:rPr>
      </w:pPr>
    </w:p>
    <w:p w14:paraId="0B526851" w14:textId="77777777" w:rsidR="003B5B93" w:rsidRDefault="003B5B93" w:rsidP="0019707D">
      <w:pPr>
        <w:adjustRightInd w:val="0"/>
        <w:jc w:val="both"/>
        <w:rPr>
          <w:lang w:val="es-MX" w:eastAsia="es-MX"/>
        </w:rPr>
      </w:pPr>
    </w:p>
    <w:p w14:paraId="7378A6FE" w14:textId="76FFD6A5" w:rsidR="003B5B93" w:rsidRDefault="003B5B93" w:rsidP="0019707D">
      <w:pPr>
        <w:adjustRightInd w:val="0"/>
        <w:jc w:val="both"/>
        <w:rPr>
          <w:lang w:val="es-MX" w:eastAsia="es-MX"/>
        </w:rPr>
      </w:pPr>
    </w:p>
    <w:p w14:paraId="0E39E3BD" w14:textId="77777777" w:rsidR="001E2A44" w:rsidRPr="001E2A44" w:rsidRDefault="001E2A44" w:rsidP="0019707D">
      <w:pPr>
        <w:adjustRightInd w:val="0"/>
        <w:jc w:val="both"/>
        <w:rPr>
          <w:sz w:val="14"/>
          <w:lang w:val="es-MX" w:eastAsia="es-MX"/>
        </w:rPr>
      </w:pPr>
    </w:p>
    <w:p w14:paraId="76AB479F" w14:textId="670A5959" w:rsidR="0019707D" w:rsidRDefault="00BF4446" w:rsidP="0019707D">
      <w:pPr>
        <w:adjustRightInd w:val="0"/>
        <w:jc w:val="both"/>
        <w:rPr>
          <w:lang w:val="es-ES"/>
        </w:rPr>
      </w:pPr>
      <w:r>
        <w:rPr>
          <w:i/>
          <w:noProof/>
          <w:lang w:val="es-MX" w:eastAsia="es-MX"/>
        </w:rPr>
        <w:pict w14:anchorId="13B589B7">
          <v:group id="_x0000_s1050" style="position:absolute;left:0;text-align:left;margin-left:11.15pt;margin-top:55.1pt;width:494.6pt;height:194.7pt;z-index:251666432" coordorigin="1176,11096" coordsize="9892,389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1" type="#_x0000_t75" style="position:absolute;left:1176;top:11096;width:9892;height:3894" wrapcoords="-33 0 -33 21517 21600 21517 21600 0 -33 0">
              <v:imagedata r:id="rId11" o:title="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52" type="#_x0000_t32" style="position:absolute;left:7164;top:13498;width:825;height:150;flip:y;visibility:visible" strokecolor="white" strokeweight=".5pt">
              <v:stroke endarrow="block" joinstyle="miter"/>
            </v:shape>
            <v:shape id="Conector recto de flecha 1" o:spid="_x0000_s1053" type="#_x0000_t32" style="position:absolute;left:6749;top:11670;width:825;height:150;flip:y;visibility:visible" strokecolor="white" strokeweight=".5pt">
              <v:stroke endarrow="block" joinstyle="miter"/>
            </v:shape>
            <v:shape id="Conector recto de flecha 1" o:spid="_x0000_s1054" type="#_x0000_t32" style="position:absolute;left:8275;top:14296;width:825;height:150;flip:y;visibility:visible" strokecolor="white" strokeweight=".5pt">
              <v:stroke endarrow="block" joinstyle="miter"/>
            </v:shape>
            <v:shape id="Conector recto de flecha 1" o:spid="_x0000_s1055" type="#_x0000_t32" style="position:absolute;left:7253;top:12882;width:825;height:150;flip:y;visibility:visible" strokecolor="white" strokeweight=".5pt">
              <v:stroke endarrow="block" joinstyle="miter"/>
            </v:shape>
            <w10:wrap type="square"/>
          </v:group>
        </w:pict>
      </w:r>
      <w:r>
        <w:rPr>
          <w:noProof/>
          <w:lang w:val="es-MX" w:eastAsia="es-MX"/>
        </w:rPr>
        <w:pict w14:anchorId="6519393B">
          <v:shape id="_x0000_s1056" type="#_x0000_t202" style="position:absolute;left:0;text-align:left;margin-left:.7pt;margin-top:245.85pt;width:513.85pt;height:36.3pt;z-index:25166745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" strokecolor="white">
            <v:textbox style="mso-next-textbox:#_x0000_s1056">
              <w:txbxContent>
                <w:p w14:paraId="094F78FB" w14:textId="5E708278" w:rsidR="00E25EF9" w:rsidRPr="00AB560B" w:rsidRDefault="00E25EF9" w:rsidP="00E25EF9">
                  <w:pPr>
                    <w:jc w:val="both"/>
                    <w:rPr>
                      <w:sz w:val="16"/>
                      <w:lang w:val="es-ES"/>
                    </w:rPr>
                  </w:pPr>
                  <w:r>
                    <w:rPr>
                      <w:sz w:val="16"/>
                      <w:lang w:val="es-ES"/>
                    </w:rPr>
                    <w:t>Figura 5</w:t>
                  </w:r>
                  <w:r w:rsidRPr="00C231C4">
                    <w:rPr>
                      <w:sz w:val="16"/>
                      <w:lang w:val="es-ES"/>
                    </w:rPr>
                    <w:t xml:space="preserve">. </w:t>
                  </w:r>
                  <w:r w:rsidR="00297836" w:rsidRPr="009E4D21">
                    <w:rPr>
                      <w:sz w:val="16"/>
                      <w:highlight w:val="yellow"/>
                      <w:lang w:val="es-ES"/>
                    </w:rPr>
                    <w:t>Inmunofluorescencia</w:t>
                  </w:r>
                  <w:r w:rsidR="003F1584" w:rsidRPr="009E4D21">
                    <w:rPr>
                      <w:sz w:val="16"/>
                      <w:highlight w:val="yellow"/>
                      <w:lang w:val="es-ES"/>
                    </w:rPr>
                    <w:t xml:space="preserve"> para identificación de GFAP en hipocampo</w:t>
                  </w:r>
                  <w:r w:rsidR="00297836" w:rsidRPr="009E4D21">
                    <w:rPr>
                      <w:sz w:val="16"/>
                      <w:highlight w:val="yellow"/>
                      <w:lang w:val="es-ES"/>
                    </w:rPr>
                    <w:t xml:space="preserve">. </w:t>
                  </w:r>
                  <w:r w:rsidR="00C159E1" w:rsidRPr="009E4D21">
                    <w:rPr>
                      <w:sz w:val="16"/>
                      <w:highlight w:val="yellow"/>
                      <w:lang w:val="es-ES"/>
                    </w:rPr>
                    <w:t xml:space="preserve">A. </w:t>
                  </w:r>
                  <w:r w:rsidRPr="009E4D21">
                    <w:rPr>
                      <w:sz w:val="16"/>
                      <w:highlight w:val="yellow"/>
                      <w:lang w:val="es-ES"/>
                    </w:rPr>
                    <w:t xml:space="preserve">Grupo </w:t>
                  </w:r>
                  <w:r w:rsidR="00C159E1" w:rsidRPr="009E4D21">
                    <w:rPr>
                      <w:sz w:val="16"/>
                      <w:highlight w:val="yellow"/>
                      <w:lang w:val="es-ES"/>
                    </w:rPr>
                    <w:t>ST B. Grupo LPS</w:t>
                  </w:r>
                  <w:r w:rsidRPr="009E4D21">
                    <w:rPr>
                      <w:sz w:val="16"/>
                      <w:highlight w:val="yellow"/>
                      <w:lang w:val="es-ES"/>
                    </w:rPr>
                    <w:t xml:space="preserve">; Activación de astrocitos </w:t>
                  </w:r>
                  <w:r w:rsidR="00C159E1" w:rsidRPr="009E4D21">
                    <w:rPr>
                      <w:sz w:val="16"/>
                      <w:highlight w:val="yellow"/>
                      <w:lang w:val="es-ES"/>
                    </w:rPr>
                    <w:t>en el grupo LPS marcados con anti GFAP, denotando el cambio de morfología</w:t>
                  </w:r>
                  <w:r w:rsidRPr="009E4D21">
                    <w:rPr>
                      <w:sz w:val="16"/>
                      <w:highlight w:val="yellow"/>
                      <w:lang w:val="es-ES"/>
                    </w:rPr>
                    <w:t>. Las flechas marcan la activación de astrocitos.</w:t>
                  </w:r>
                  <w:r w:rsidRPr="00E25EF9">
                    <w:rPr>
                      <w:sz w:val="16"/>
                      <w:lang w:val="es-ES"/>
                    </w:rPr>
                    <w:t xml:space="preserve">  </w:t>
                  </w:r>
                </w:p>
                <w:p w14:paraId="48E0DBEC" w14:textId="77777777" w:rsidR="00E25EF9" w:rsidRDefault="00E25EF9" w:rsidP="00E25EF9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/>
          </v:shape>
        </w:pict>
      </w:r>
      <w:r w:rsidR="0019707D" w:rsidRPr="00C569B4">
        <w:rPr>
          <w:lang w:val="es-MX" w:eastAsia="es-MX"/>
        </w:rPr>
        <w:t>IL-6</w:t>
      </w:r>
      <w:r w:rsidR="00655118">
        <w:rPr>
          <w:lang w:val="es-ES_tradnl" w:eastAsia="es-MX"/>
        </w:rPr>
        <w:t xml:space="preserve"> se elevó en todos los órganos y tejidos</w:t>
      </w:r>
      <w:r w:rsidR="00536F14">
        <w:rPr>
          <w:lang w:val="es-ES_tradnl" w:eastAsia="es-MX"/>
        </w:rPr>
        <w:t xml:space="preserve"> en el grupo LPS </w:t>
      </w:r>
      <w:r w:rsidR="0019707D" w:rsidRPr="00C569B4">
        <w:rPr>
          <w:lang w:val="es-ES_tradnl" w:eastAsia="es-MX"/>
        </w:rPr>
        <w:t>con una mayor elevación en SNC, y con una s</w:t>
      </w:r>
      <w:r w:rsidR="00956BBC">
        <w:rPr>
          <w:lang w:val="es-ES_tradnl" w:eastAsia="es-MX"/>
        </w:rPr>
        <w:t>egunda elevación importante en suero</w:t>
      </w:r>
      <w:r w:rsidR="00536F14">
        <w:rPr>
          <w:lang w:val="es-ES_tradnl" w:eastAsia="es-MX"/>
        </w:rPr>
        <w:t xml:space="preserve">, comparado con los </w:t>
      </w:r>
      <w:r w:rsidR="004330C9">
        <w:rPr>
          <w:lang w:val="es-ES_tradnl" w:eastAsia="es-MX"/>
        </w:rPr>
        <w:t>grupos ST y SSI</w:t>
      </w:r>
      <w:r w:rsidR="00BC2D2B">
        <w:rPr>
          <w:lang w:val="es-ES_tradnl" w:eastAsia="es-MX"/>
        </w:rPr>
        <w:t xml:space="preserve"> (Fig. 4</w:t>
      </w:r>
      <w:r w:rsidR="00536F14">
        <w:rPr>
          <w:lang w:val="es-ES_tradnl" w:eastAsia="es-MX"/>
        </w:rPr>
        <w:t>)</w:t>
      </w:r>
      <w:r w:rsidR="0019707D" w:rsidRPr="00C569B4">
        <w:rPr>
          <w:lang w:val="es-ES_tradnl" w:eastAsia="es-MX"/>
        </w:rPr>
        <w:t>.</w:t>
      </w:r>
      <w:r w:rsidR="00936138" w:rsidRPr="00936138">
        <w:rPr>
          <w:lang w:val="es-ES"/>
        </w:rPr>
        <w:t xml:space="preserve"> </w:t>
      </w:r>
    </w:p>
    <w:p w14:paraId="23E78797" w14:textId="46207A8D" w:rsidR="005B5700" w:rsidRDefault="005B5700" w:rsidP="0019707D">
      <w:pPr>
        <w:adjustRightInd w:val="0"/>
        <w:jc w:val="both"/>
        <w:rPr>
          <w:lang w:val="es-ES"/>
        </w:rPr>
      </w:pPr>
    </w:p>
    <w:p w14:paraId="044963D5" w14:textId="77777777" w:rsidR="005B5700" w:rsidRDefault="00BF4446" w:rsidP="0019707D">
      <w:pPr>
        <w:adjustRightInd w:val="0"/>
        <w:jc w:val="both"/>
        <w:rPr>
          <w:lang w:val="es-ES_tradnl" w:eastAsia="es-MX"/>
        </w:rPr>
      </w:pPr>
      <w:r>
        <w:rPr>
          <w:i/>
          <w:noProof/>
          <w:lang w:val="es-MX" w:eastAsia="es-MX"/>
        </w:rPr>
        <w:pict w14:anchorId="0AE54680">
          <v:shape id="_x0000_s1042" type="#_x0000_t202" style="position:absolute;left:0;text-align:left;margin-left:-.2pt;margin-top:125.65pt;width:250.9pt;height:37.2pt;z-index:25166540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" filled="f" fillcolor="#069" stroked="f" strokeweight="2pt">
            <v:textbox style="mso-next-textbox:#_x0000_s1042" inset="2.88pt,2.88pt,2.88pt,2.88pt">
              <w:txbxContent>
                <w:p w14:paraId="743B3628" w14:textId="6F498AC4" w:rsidR="00D9784F" w:rsidRPr="00EC2E4B" w:rsidRDefault="005B5700" w:rsidP="00D9784F">
                  <w:pPr>
                    <w:pStyle w:val="NormalWeb"/>
                    <w:kinsoku w:val="0"/>
                    <w:overflowPunct w:val="0"/>
                    <w:spacing w:before="0" w:beforeAutospacing="0" w:after="0" w:afterAutospacing="0"/>
                    <w:jc w:val="both"/>
                    <w:textAlignment w:val="baseline"/>
                    <w:rPr>
                      <w:sz w:val="18"/>
                      <w:szCs w:val="20"/>
                      <w:lang w:val="es-ES"/>
                    </w:rPr>
                  </w:pPr>
                  <w:r w:rsidRPr="00300E19">
                    <w:rPr>
                      <w:sz w:val="18"/>
                      <w:szCs w:val="20"/>
                      <w:lang w:val="es-ES"/>
                    </w:rPr>
                    <w:t>F</w:t>
                  </w:r>
                  <w:r>
                    <w:rPr>
                      <w:sz w:val="18"/>
                      <w:szCs w:val="20"/>
                      <w:lang w:val="es-ES"/>
                    </w:rPr>
                    <w:t xml:space="preserve">ig 4. </w:t>
                  </w:r>
                  <w:r w:rsidRPr="005B5700">
                    <w:rPr>
                      <w:sz w:val="18"/>
                      <w:szCs w:val="20"/>
                      <w:lang w:val="es-ES"/>
                    </w:rPr>
                    <w:t>Concentración promedio de IL-6 en suero, cerebro y bazo en los grupos experimentales. Prueba estadística utilizada: ANOVA sin diferencia significativa</w:t>
                  </w:r>
                  <w:r w:rsidR="00D9784F">
                    <w:rPr>
                      <w:sz w:val="18"/>
                      <w:szCs w:val="20"/>
                      <w:lang w:val="es-ES"/>
                    </w:rPr>
                    <w:t xml:space="preserve"> comparando</w:t>
                  </w:r>
                  <w:r w:rsidR="00D9784F" w:rsidRPr="00A7277E">
                    <w:t xml:space="preserve"> </w:t>
                  </w:r>
                  <w:r w:rsidR="00D9784F">
                    <w:rPr>
                      <w:sz w:val="18"/>
                      <w:szCs w:val="20"/>
                      <w:lang w:val="es-ES"/>
                    </w:rPr>
                    <w:t>IL-6 en LPS vs ST y SSI.</w:t>
                  </w:r>
                </w:p>
                <w:p w14:paraId="6990465C" w14:textId="178D0931" w:rsidR="005B5700" w:rsidRPr="00EC2E4B" w:rsidRDefault="005B5700" w:rsidP="005B5700">
                  <w:pPr>
                    <w:pStyle w:val="NormalWeb"/>
                    <w:kinsoku w:val="0"/>
                    <w:overflowPunct w:val="0"/>
                    <w:spacing w:before="0" w:beforeAutospacing="0" w:after="0" w:afterAutospacing="0"/>
                    <w:jc w:val="both"/>
                    <w:textAlignment w:val="baseline"/>
                    <w:rPr>
                      <w:sz w:val="18"/>
                      <w:szCs w:val="20"/>
                      <w:lang w:val="es-ES"/>
                    </w:rPr>
                  </w:pPr>
                </w:p>
              </w:txbxContent>
            </v:textbox>
          </v:shape>
        </w:pict>
      </w:r>
      <w:r w:rsidR="005B5700">
        <w:rPr>
          <w:noProof/>
          <w:lang w:val="es-MX" w:eastAsia="es-MX"/>
        </w:rPr>
        <w:drawing>
          <wp:inline distT="0" distB="0" distL="0" distR="0" wp14:anchorId="18CE6110" wp14:editId="406E5E02">
            <wp:extent cx="3182620" cy="1688713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E8789CB" w14:textId="77777777" w:rsidR="00EA2FE5" w:rsidRDefault="00EA2FE5" w:rsidP="00655118">
      <w:pPr>
        <w:adjustRightInd w:val="0"/>
        <w:jc w:val="both"/>
        <w:rPr>
          <w:i/>
          <w:lang w:val="es-ES_tradnl" w:eastAsia="es-MX"/>
        </w:rPr>
      </w:pPr>
    </w:p>
    <w:p w14:paraId="00BDF90E" w14:textId="77777777" w:rsidR="00C163B6" w:rsidRDefault="00C163B6" w:rsidP="00C163B6">
      <w:pPr>
        <w:adjustRightInd w:val="0"/>
        <w:jc w:val="both"/>
        <w:rPr>
          <w:i/>
          <w:lang w:val="es-ES_tradnl" w:eastAsia="es-MX"/>
        </w:rPr>
      </w:pPr>
    </w:p>
    <w:p w14:paraId="4223ACF6" w14:textId="0FEBD5C7" w:rsidR="00E6539E" w:rsidRPr="00763846" w:rsidRDefault="00E6539E" w:rsidP="00C163B6">
      <w:pPr>
        <w:adjustRightInd w:val="0"/>
        <w:jc w:val="both"/>
        <w:rPr>
          <w:i/>
          <w:sz w:val="28"/>
          <w:lang w:val="es-ES_tradnl" w:eastAsia="es-MX"/>
        </w:rPr>
      </w:pPr>
    </w:p>
    <w:p w14:paraId="0BBF27E1" w14:textId="09AAEBCC" w:rsidR="007E3E1C" w:rsidRDefault="003F0B11" w:rsidP="005A3F62">
      <w:pPr>
        <w:adjustRightInd w:val="0"/>
        <w:ind w:firstLine="144"/>
        <w:jc w:val="both"/>
        <w:rPr>
          <w:i/>
          <w:lang w:val="es-ES_tradnl" w:eastAsia="es-MX"/>
        </w:rPr>
      </w:pPr>
      <w:r w:rsidRPr="009E4D21">
        <w:rPr>
          <w:i/>
          <w:highlight w:val="yellow"/>
          <w:lang w:val="es-ES_tradnl" w:eastAsia="es-MX"/>
        </w:rPr>
        <w:t>Microscopia con Inmunofluorescencia de SNC</w:t>
      </w:r>
      <w:r w:rsidRPr="003F0B11">
        <w:rPr>
          <w:i/>
          <w:lang w:val="es-ES_tradnl" w:eastAsia="es-MX"/>
        </w:rPr>
        <w:t xml:space="preserve"> </w:t>
      </w:r>
    </w:p>
    <w:p w14:paraId="77831174" w14:textId="6FDE2456" w:rsidR="00E6539E" w:rsidRPr="00763846" w:rsidRDefault="00E6539E" w:rsidP="005A3F62">
      <w:pPr>
        <w:adjustRightInd w:val="0"/>
        <w:ind w:firstLine="144"/>
        <w:jc w:val="both"/>
        <w:rPr>
          <w:i/>
          <w:sz w:val="16"/>
          <w:lang w:val="es-ES_tradnl" w:eastAsia="es-MX"/>
        </w:rPr>
      </w:pPr>
    </w:p>
    <w:p w14:paraId="7110C8F8" w14:textId="626553A2" w:rsidR="00E6539E" w:rsidRDefault="004330C9" w:rsidP="00C569B4">
      <w:pPr>
        <w:adjustRightInd w:val="0"/>
        <w:jc w:val="both"/>
        <w:rPr>
          <w:sz w:val="24"/>
          <w:lang w:val="es-ES_tradnl" w:eastAsia="es-MX"/>
        </w:rPr>
      </w:pPr>
      <w:r>
        <w:rPr>
          <w:lang w:val="es-ES_tradnl" w:eastAsia="es-MX"/>
        </w:rPr>
        <w:t xml:space="preserve">Por </w:t>
      </w:r>
      <w:r w:rsidR="00B47741">
        <w:rPr>
          <w:lang w:val="es-ES_tradnl" w:eastAsia="es-MX"/>
        </w:rPr>
        <w:t xml:space="preserve">microscopía </w:t>
      </w:r>
      <w:r w:rsidR="00536F14">
        <w:rPr>
          <w:lang w:val="es-ES_tradnl" w:eastAsia="es-MX"/>
        </w:rPr>
        <w:t>fue</w:t>
      </w:r>
      <w:r w:rsidR="001B53EC" w:rsidRPr="001B53EC">
        <w:rPr>
          <w:lang w:val="es-ES_tradnl" w:eastAsia="es-MX"/>
        </w:rPr>
        <w:t xml:space="preserve"> posible apreci</w:t>
      </w:r>
      <w:r w:rsidR="00C84159">
        <w:rPr>
          <w:lang w:val="es-ES_tradnl" w:eastAsia="es-MX"/>
        </w:rPr>
        <w:t xml:space="preserve">ar la activación de </w:t>
      </w:r>
      <w:r w:rsidR="001B53EC" w:rsidRPr="001B53EC">
        <w:rPr>
          <w:lang w:val="es-ES_tradnl" w:eastAsia="es-MX"/>
        </w:rPr>
        <w:t>astrocitos a nivel del giro dentado e hipocampo en el grupo LPS, en comparaci</w:t>
      </w:r>
      <w:r w:rsidR="00C569B4">
        <w:rPr>
          <w:lang w:val="es-ES_tradnl" w:eastAsia="es-MX"/>
        </w:rPr>
        <w:t xml:space="preserve">ón con grupo </w:t>
      </w:r>
      <w:r>
        <w:rPr>
          <w:lang w:val="es-ES_tradnl" w:eastAsia="es-MX"/>
        </w:rPr>
        <w:t>ST</w:t>
      </w:r>
      <w:r w:rsidR="00536F14">
        <w:rPr>
          <w:lang w:val="es-ES_tradnl" w:eastAsia="es-MX"/>
        </w:rPr>
        <w:t xml:space="preserve">. El grupo control se obtuvo de otro estudio experimental con metodología idéntica debido a problemas durante la manipulación de las muestras </w:t>
      </w:r>
      <w:r w:rsidR="00E25EF9">
        <w:rPr>
          <w:lang w:val="es-ES_tradnl" w:eastAsia="es-MX"/>
        </w:rPr>
        <w:t>(Fig. 5</w:t>
      </w:r>
      <w:r w:rsidR="00C569B4">
        <w:rPr>
          <w:lang w:val="es-ES_tradnl" w:eastAsia="es-MX"/>
        </w:rPr>
        <w:t>)</w:t>
      </w:r>
      <w:r w:rsidR="001B53EC" w:rsidRPr="001B53EC">
        <w:rPr>
          <w:lang w:val="es-ES_tradnl" w:eastAsia="es-MX"/>
        </w:rPr>
        <w:t>.</w:t>
      </w:r>
      <w:r w:rsidR="004C2497">
        <w:rPr>
          <w:lang w:val="es-ES_tradnl" w:eastAsia="es-MX"/>
        </w:rPr>
        <w:t xml:space="preserve"> </w:t>
      </w:r>
    </w:p>
    <w:p w14:paraId="644658B3" w14:textId="77777777" w:rsidR="00763846" w:rsidRPr="00763846" w:rsidRDefault="00763846" w:rsidP="00C569B4">
      <w:pPr>
        <w:adjustRightInd w:val="0"/>
        <w:jc w:val="both"/>
        <w:rPr>
          <w:sz w:val="2"/>
          <w:lang w:val="es-ES_tradnl" w:eastAsia="es-MX"/>
        </w:rPr>
      </w:pPr>
    </w:p>
    <w:p w14:paraId="5231ACED" w14:textId="77777777" w:rsidR="00EA2FE5" w:rsidRPr="00536F14" w:rsidRDefault="001B53EC" w:rsidP="00030A76">
      <w:pPr>
        <w:pStyle w:val="Ttulo1"/>
        <w:rPr>
          <w:lang w:val="es-ES"/>
        </w:rPr>
      </w:pPr>
      <w:r w:rsidRPr="00536F14">
        <w:rPr>
          <w:lang w:val="es-ES"/>
        </w:rPr>
        <w:t>Discusión</w:t>
      </w:r>
    </w:p>
    <w:p w14:paraId="31112EEE" w14:textId="5C88F1FF" w:rsidR="000A7147" w:rsidRDefault="006E5257" w:rsidP="001E2A44">
      <w:pPr>
        <w:adjustRightInd w:val="0"/>
        <w:jc w:val="both"/>
        <w:rPr>
          <w:lang w:val="es-ES"/>
        </w:rPr>
      </w:pPr>
      <w:r>
        <w:rPr>
          <w:lang w:val="es-MX" w:eastAsia="es-MX"/>
        </w:rPr>
        <w:t>La inoculación de LPS en</w:t>
      </w:r>
      <w:r w:rsidR="001B53EC" w:rsidRPr="001B53EC">
        <w:rPr>
          <w:lang w:val="es-MX" w:eastAsia="es-MX"/>
        </w:rPr>
        <w:t xml:space="preserve"> ratones </w:t>
      </w:r>
      <w:r w:rsidR="001B53EC" w:rsidRPr="007466A6">
        <w:rPr>
          <w:lang w:val="es-MX" w:eastAsia="es-MX"/>
        </w:rPr>
        <w:t>simula un estado parecido al de</w:t>
      </w:r>
      <w:r w:rsidR="004C2497" w:rsidRPr="007466A6">
        <w:rPr>
          <w:lang w:val="es-MX" w:eastAsia="es-MX"/>
        </w:rPr>
        <w:t xml:space="preserve"> la sepsis en humanos, en el cual</w:t>
      </w:r>
      <w:r w:rsidR="00A20255">
        <w:rPr>
          <w:lang w:val="es-MX" w:eastAsia="es-MX"/>
        </w:rPr>
        <w:t xml:space="preserve"> se encuentran concentraciones elevada</w:t>
      </w:r>
      <w:r w:rsidR="001B53EC" w:rsidRPr="007466A6">
        <w:rPr>
          <w:lang w:val="es-MX" w:eastAsia="es-MX"/>
        </w:rPr>
        <w:t xml:space="preserve">s de citocinas como </w:t>
      </w:r>
      <w:r w:rsidRPr="007466A6">
        <w:rPr>
          <w:lang w:val="es-MX" w:eastAsia="es-MX"/>
        </w:rPr>
        <w:t>TNFα</w:t>
      </w:r>
      <w:r>
        <w:rPr>
          <w:lang w:val="es-MX" w:eastAsia="es-MX"/>
        </w:rPr>
        <w:t>,</w:t>
      </w:r>
      <w:r w:rsidRPr="007466A6">
        <w:rPr>
          <w:lang w:val="es-MX" w:eastAsia="es-MX"/>
        </w:rPr>
        <w:t xml:space="preserve"> </w:t>
      </w:r>
      <w:r>
        <w:rPr>
          <w:lang w:val="es-MX" w:eastAsia="es-MX"/>
        </w:rPr>
        <w:t>IL-1β e</w:t>
      </w:r>
      <w:r w:rsidR="00A20255">
        <w:rPr>
          <w:lang w:val="es-MX" w:eastAsia="es-MX"/>
        </w:rPr>
        <w:t xml:space="preserve"> IL-6</w:t>
      </w:r>
      <w:r>
        <w:rPr>
          <w:lang w:val="es-MX" w:eastAsia="es-MX"/>
        </w:rPr>
        <w:t>, alterando</w:t>
      </w:r>
      <w:r w:rsidR="001B53EC" w:rsidRPr="007466A6">
        <w:rPr>
          <w:lang w:val="es-MX" w:eastAsia="es-MX"/>
        </w:rPr>
        <w:t xml:space="preserve"> funciones orgánica</w:t>
      </w:r>
      <w:r w:rsidR="00446C8D">
        <w:rPr>
          <w:lang w:val="es-MX" w:eastAsia="es-MX"/>
        </w:rPr>
        <w:t>s y conduct</w:t>
      </w:r>
      <w:r w:rsidR="00297836">
        <w:rPr>
          <w:lang w:val="es-MX" w:eastAsia="es-MX"/>
        </w:rPr>
        <w:t>u</w:t>
      </w:r>
      <w:r w:rsidR="00446C8D">
        <w:rPr>
          <w:lang w:val="es-MX" w:eastAsia="es-MX"/>
        </w:rPr>
        <w:t xml:space="preserve">ales </w:t>
      </w:r>
      <w:r w:rsidR="00A20255">
        <w:rPr>
          <w:lang w:val="es-MX" w:eastAsia="es-MX"/>
        </w:rPr>
        <w:t>[4, 8</w:t>
      </w:r>
      <w:r w:rsidR="00E2179B" w:rsidRPr="004B4429">
        <w:rPr>
          <w:lang w:val="es-MX" w:eastAsia="es-MX"/>
        </w:rPr>
        <w:t xml:space="preserve">]. </w:t>
      </w:r>
      <w:r w:rsidR="001B53EC" w:rsidRPr="004B4429">
        <w:rPr>
          <w:lang w:val="es-MX" w:eastAsia="es-MX"/>
        </w:rPr>
        <w:t>En las pruebas de</w:t>
      </w:r>
      <w:r w:rsidR="0033448B">
        <w:rPr>
          <w:lang w:val="es-MX" w:eastAsia="es-MX"/>
        </w:rPr>
        <w:t xml:space="preserve"> actividad conductual se observó</w:t>
      </w:r>
      <w:r w:rsidR="001B53EC" w:rsidRPr="004B4429">
        <w:rPr>
          <w:lang w:val="es-MX" w:eastAsia="es-MX"/>
        </w:rPr>
        <w:t xml:space="preserve"> una disminución de la actividad </w:t>
      </w:r>
      <w:r w:rsidR="00644C5B">
        <w:rPr>
          <w:lang w:val="es-MX" w:eastAsia="es-MX"/>
        </w:rPr>
        <w:t>de</w:t>
      </w:r>
      <w:r w:rsidR="001B53EC" w:rsidRPr="004B4429">
        <w:rPr>
          <w:lang w:val="es-MX" w:eastAsia="es-MX"/>
        </w:rPr>
        <w:t xml:space="preserve"> los ratones </w:t>
      </w:r>
      <w:r w:rsidR="00644C5B">
        <w:rPr>
          <w:lang w:val="es-MX" w:eastAsia="es-MX"/>
        </w:rPr>
        <w:t xml:space="preserve">del grupo </w:t>
      </w:r>
      <w:r w:rsidR="001B53EC" w:rsidRPr="004B4429">
        <w:rPr>
          <w:lang w:val="es-MX" w:eastAsia="es-MX"/>
        </w:rPr>
        <w:t>LPS</w:t>
      </w:r>
      <w:r w:rsidR="00644C5B">
        <w:rPr>
          <w:lang w:val="es-MX" w:eastAsia="es-MX"/>
        </w:rPr>
        <w:t xml:space="preserve"> en el t2</w:t>
      </w:r>
      <w:r w:rsidR="001B53EC" w:rsidRPr="004B4429">
        <w:rPr>
          <w:lang w:val="es-MX" w:eastAsia="es-MX"/>
        </w:rPr>
        <w:t xml:space="preserve">, así como </w:t>
      </w:r>
      <w:r w:rsidR="00875D78">
        <w:rPr>
          <w:lang w:val="es-MX" w:eastAsia="es-MX"/>
        </w:rPr>
        <w:t>cambios en la apariencia,</w:t>
      </w:r>
      <w:r w:rsidR="001B53EC" w:rsidRPr="004B4429">
        <w:rPr>
          <w:lang w:val="es-MX" w:eastAsia="es-MX"/>
        </w:rPr>
        <w:t xml:space="preserve"> tales como </w:t>
      </w:r>
      <w:r w:rsidR="001B53EC" w:rsidRPr="00875D78">
        <w:rPr>
          <w:lang w:val="es-MX"/>
        </w:rPr>
        <w:t>piloerección</w:t>
      </w:r>
      <w:r w:rsidR="001B53EC" w:rsidRPr="004B4429">
        <w:rPr>
          <w:lang w:val="es-MX" w:eastAsia="es-MX"/>
        </w:rPr>
        <w:t>, pal</w:t>
      </w:r>
      <w:r w:rsidR="00C84159">
        <w:rPr>
          <w:lang w:val="es-MX" w:eastAsia="es-MX"/>
        </w:rPr>
        <w:t>idez de tegumento</w:t>
      </w:r>
      <w:r>
        <w:rPr>
          <w:lang w:val="es-MX" w:eastAsia="es-MX"/>
        </w:rPr>
        <w:t>s, temblor e hipoactividad</w:t>
      </w:r>
      <w:r w:rsidR="00875D78">
        <w:rPr>
          <w:lang w:val="es-MX" w:eastAsia="es-MX"/>
        </w:rPr>
        <w:t>, coincidiendo con los resultados de</w:t>
      </w:r>
      <w:r w:rsidR="00C84159">
        <w:rPr>
          <w:lang w:val="es-MX" w:eastAsia="es-MX"/>
        </w:rPr>
        <w:t xml:space="preserve"> </w:t>
      </w:r>
      <w:r w:rsidR="001B53EC" w:rsidRPr="004B4429">
        <w:rPr>
          <w:lang w:val="es-MX" w:eastAsia="es-MX"/>
        </w:rPr>
        <w:t>otros modelos experimentales</w:t>
      </w:r>
      <w:r w:rsidR="004B4429" w:rsidRPr="004B4429">
        <w:rPr>
          <w:lang w:val="es-MX" w:eastAsia="es-MX"/>
        </w:rPr>
        <w:t xml:space="preserve"> </w:t>
      </w:r>
      <w:r w:rsidR="004C2497" w:rsidRPr="004B4429">
        <w:rPr>
          <w:lang w:val="es-MX" w:eastAsia="es-MX"/>
        </w:rPr>
        <w:t>[</w:t>
      </w:r>
      <w:r w:rsidR="00A20255">
        <w:rPr>
          <w:lang w:val="es-MX" w:eastAsia="es-MX"/>
        </w:rPr>
        <w:t>4, 7</w:t>
      </w:r>
      <w:r w:rsidR="004C2497" w:rsidRPr="004B4429">
        <w:rPr>
          <w:lang w:val="es-MX" w:eastAsia="es-MX"/>
        </w:rPr>
        <w:t>]</w:t>
      </w:r>
      <w:r w:rsidR="004F56A8">
        <w:rPr>
          <w:lang w:val="es-MX" w:eastAsia="es-MX"/>
        </w:rPr>
        <w:t>.</w:t>
      </w:r>
      <w:r>
        <w:rPr>
          <w:lang w:val="es-MX" w:eastAsia="es-MX"/>
        </w:rPr>
        <w:t xml:space="preserve"> </w:t>
      </w:r>
      <w:r w:rsidR="004F56A8">
        <w:rPr>
          <w:lang w:val="es-MX" w:eastAsia="es-MX"/>
        </w:rPr>
        <w:t xml:space="preserve">Existe evidencia de la elevación de IL-6 e IL-1β en modelos de infecciones agudas y crónicas </w:t>
      </w:r>
      <w:r>
        <w:rPr>
          <w:lang w:val="es-MX" w:eastAsia="es-MX"/>
        </w:rPr>
        <w:t>como cáncer,</w:t>
      </w:r>
      <w:r w:rsidR="001B53EC" w:rsidRPr="004B4429">
        <w:rPr>
          <w:lang w:val="es-MX" w:eastAsia="es-MX"/>
        </w:rPr>
        <w:t xml:space="preserve"> enfermedades reumáticas, y el trastorno depr</w:t>
      </w:r>
      <w:r>
        <w:rPr>
          <w:lang w:val="es-MX" w:eastAsia="es-MX"/>
        </w:rPr>
        <w:t>esivo mayor, haciendo que se observe</w:t>
      </w:r>
      <w:r w:rsidR="001B53EC" w:rsidRPr="004B4429">
        <w:rPr>
          <w:lang w:val="es-MX" w:eastAsia="es-MX"/>
        </w:rPr>
        <w:t xml:space="preserve"> una hipoac</w:t>
      </w:r>
      <w:r w:rsidR="00E2179B" w:rsidRPr="004B4429">
        <w:rPr>
          <w:lang w:val="es-MX" w:eastAsia="es-MX"/>
        </w:rPr>
        <w:t xml:space="preserve">tividad marcada en los </w:t>
      </w:r>
      <w:r w:rsidR="00E2179B" w:rsidRPr="001D23E6">
        <w:rPr>
          <w:lang w:val="es-MX" w:eastAsia="es-MX"/>
        </w:rPr>
        <w:t>roedores</w:t>
      </w:r>
      <w:r w:rsidR="00310ACC">
        <w:rPr>
          <w:lang w:val="es-MX" w:eastAsia="es-MX"/>
        </w:rPr>
        <w:t>, lo que coincide con nuestros resultados</w:t>
      </w:r>
      <w:r w:rsidR="00E2179B" w:rsidRPr="001D23E6">
        <w:rPr>
          <w:lang w:val="es-MX" w:eastAsia="es-MX"/>
        </w:rPr>
        <w:t xml:space="preserve"> [</w:t>
      </w:r>
      <w:r w:rsidR="00A20255">
        <w:rPr>
          <w:lang w:val="es-MX" w:eastAsia="es-MX"/>
        </w:rPr>
        <w:t>8, 12, 13</w:t>
      </w:r>
      <w:r w:rsidR="00E2179B" w:rsidRPr="001D23E6">
        <w:rPr>
          <w:lang w:val="es-MX" w:eastAsia="es-MX"/>
        </w:rPr>
        <w:t>].</w:t>
      </w:r>
      <w:r w:rsidR="004B5849" w:rsidRPr="004B5849">
        <w:rPr>
          <w:lang w:val="es-ES"/>
        </w:rPr>
        <w:t xml:space="preserve"> </w:t>
      </w:r>
    </w:p>
    <w:p w14:paraId="0CB8BD40" w14:textId="77777777" w:rsidR="001E2A44" w:rsidRPr="007466A6" w:rsidRDefault="001E2A44" w:rsidP="001E2A44">
      <w:pPr>
        <w:adjustRightInd w:val="0"/>
        <w:jc w:val="both"/>
        <w:rPr>
          <w:lang w:val="es-MX" w:eastAsia="es-MX"/>
        </w:rPr>
      </w:pPr>
    </w:p>
    <w:p w14:paraId="37BAA286" w14:textId="618E3820" w:rsidR="001B53EC" w:rsidRDefault="001B53EC" w:rsidP="00306C00">
      <w:pPr>
        <w:adjustRightInd w:val="0"/>
        <w:jc w:val="both"/>
        <w:rPr>
          <w:lang w:val="es-MX" w:eastAsia="es-MX"/>
        </w:rPr>
      </w:pPr>
      <w:r w:rsidRPr="007466A6">
        <w:rPr>
          <w:lang w:val="es-MX" w:eastAsia="es-MX"/>
        </w:rPr>
        <w:t>La elevación de las citocinas evaluadas nos brinda evidencia de que</w:t>
      </w:r>
      <w:r w:rsidR="00446C8D">
        <w:rPr>
          <w:lang w:val="es-MX" w:eastAsia="es-MX"/>
        </w:rPr>
        <w:t xml:space="preserve"> la administración de LPS</w:t>
      </w:r>
      <w:r w:rsidRPr="007466A6">
        <w:rPr>
          <w:lang w:val="es-MX" w:eastAsia="es-MX"/>
        </w:rPr>
        <w:t xml:space="preserve"> activa una res</w:t>
      </w:r>
      <w:r w:rsidR="006E5257">
        <w:rPr>
          <w:lang w:val="es-MX" w:eastAsia="es-MX"/>
        </w:rPr>
        <w:t xml:space="preserve">puesta </w:t>
      </w:r>
      <w:r w:rsidR="006E5257">
        <w:rPr>
          <w:lang w:val="es-MX" w:eastAsia="es-MX"/>
        </w:rPr>
        <w:lastRenderedPageBreak/>
        <w:t>inflamatoria</w:t>
      </w:r>
      <w:r w:rsidRPr="004B4429">
        <w:rPr>
          <w:lang w:val="es-MX" w:eastAsia="es-MX"/>
        </w:rPr>
        <w:t xml:space="preserve"> </w:t>
      </w:r>
      <w:r w:rsidR="00BC2D2B">
        <w:rPr>
          <w:lang w:val="es-MX" w:eastAsia="es-MX"/>
        </w:rPr>
        <w:t>sistémica</w:t>
      </w:r>
      <w:r w:rsidR="00E2179B" w:rsidRPr="004B4429">
        <w:rPr>
          <w:lang w:val="es-MX" w:eastAsia="es-MX"/>
        </w:rPr>
        <w:t>.</w:t>
      </w:r>
      <w:r w:rsidRPr="004B4429">
        <w:rPr>
          <w:lang w:val="es-MX" w:eastAsia="es-MX"/>
        </w:rPr>
        <w:t xml:space="preserve"> En mode</w:t>
      </w:r>
      <w:r w:rsidR="004C2497" w:rsidRPr="004B4429">
        <w:rPr>
          <w:lang w:val="es-MX" w:eastAsia="es-MX"/>
        </w:rPr>
        <w:t>los experimentales parecidos a é</w:t>
      </w:r>
      <w:r w:rsidRPr="004B4429">
        <w:rPr>
          <w:lang w:val="es-MX" w:eastAsia="es-MX"/>
        </w:rPr>
        <w:t>ste, se ha encontrado que en cultivos de células de bazo aumenta la producción de IL-1β, en comparación con cultivos no estimulados con LPS</w:t>
      </w:r>
      <w:r w:rsidR="00E2179B" w:rsidRPr="004B4429">
        <w:rPr>
          <w:lang w:val="es-MX" w:eastAsia="es-MX"/>
        </w:rPr>
        <w:t xml:space="preserve"> </w:t>
      </w:r>
      <w:r w:rsidR="00204F0A">
        <w:rPr>
          <w:lang w:val="es-MX" w:eastAsia="es-MX"/>
        </w:rPr>
        <w:t>[1</w:t>
      </w:r>
      <w:r w:rsidR="00A20255">
        <w:rPr>
          <w:lang w:val="es-MX" w:eastAsia="es-MX"/>
        </w:rPr>
        <w:t>2</w:t>
      </w:r>
      <w:r w:rsidR="00204F0A">
        <w:rPr>
          <w:lang w:val="es-MX" w:eastAsia="es-MX"/>
        </w:rPr>
        <w:t>, 1</w:t>
      </w:r>
      <w:r w:rsidR="00A20255">
        <w:rPr>
          <w:lang w:val="es-MX" w:eastAsia="es-MX"/>
        </w:rPr>
        <w:t>4, 15</w:t>
      </w:r>
      <w:r w:rsidR="00E2179B" w:rsidRPr="004B4429">
        <w:rPr>
          <w:lang w:val="es-MX" w:eastAsia="es-MX"/>
        </w:rPr>
        <w:t>].</w:t>
      </w:r>
      <w:r w:rsidR="006E5257">
        <w:rPr>
          <w:lang w:val="es-MX" w:eastAsia="es-MX"/>
        </w:rPr>
        <w:t xml:space="preserve"> </w:t>
      </w:r>
      <w:r w:rsidR="003617E3">
        <w:rPr>
          <w:lang w:val="es-MX" w:eastAsia="es-MX"/>
        </w:rPr>
        <w:t>Por otra parte, s</w:t>
      </w:r>
      <w:r w:rsidR="006E5257">
        <w:rPr>
          <w:lang w:val="es-MX" w:eastAsia="es-MX"/>
        </w:rPr>
        <w:t>e ha evidenciado</w:t>
      </w:r>
      <w:r w:rsidRPr="004B4429">
        <w:rPr>
          <w:lang w:val="es-MX" w:eastAsia="es-MX"/>
        </w:rPr>
        <w:t xml:space="preserve"> el papel que tiene IL-6 en el desarrollo de neuroinflamación y su posible progresión hacia enfermedades crónico-degenerat</w:t>
      </w:r>
      <w:r w:rsidR="00446C8D">
        <w:rPr>
          <w:lang w:val="es-MX" w:eastAsia="es-MX"/>
        </w:rPr>
        <w:t>ivas</w:t>
      </w:r>
      <w:r w:rsidR="00FE1C3F">
        <w:rPr>
          <w:lang w:val="es-MX" w:eastAsia="es-MX"/>
        </w:rPr>
        <w:t xml:space="preserve"> [</w:t>
      </w:r>
      <w:r w:rsidR="00A20255">
        <w:rPr>
          <w:lang w:val="es-MX" w:eastAsia="es-MX"/>
        </w:rPr>
        <w:t>13, 15, 16</w:t>
      </w:r>
      <w:r w:rsidR="00095F49">
        <w:rPr>
          <w:lang w:val="es-MX" w:eastAsia="es-MX"/>
        </w:rPr>
        <w:t>]</w:t>
      </w:r>
      <w:r w:rsidR="00446C8D">
        <w:rPr>
          <w:lang w:val="es-MX" w:eastAsia="es-MX"/>
        </w:rPr>
        <w:t>, siendo ésta la</w:t>
      </w:r>
      <w:r w:rsidRPr="004B4429">
        <w:rPr>
          <w:lang w:val="es-MX" w:eastAsia="es-MX"/>
        </w:rPr>
        <w:t xml:space="preserve"> más abu</w:t>
      </w:r>
      <w:r w:rsidR="004C2497" w:rsidRPr="004B4429">
        <w:rPr>
          <w:lang w:val="es-MX" w:eastAsia="es-MX"/>
        </w:rPr>
        <w:t>ndan</w:t>
      </w:r>
      <w:r w:rsidR="00446C8D">
        <w:rPr>
          <w:lang w:val="es-MX" w:eastAsia="es-MX"/>
        </w:rPr>
        <w:t>te</w:t>
      </w:r>
      <w:r w:rsidR="004C2497" w:rsidRPr="004B4429">
        <w:rPr>
          <w:lang w:val="es-MX" w:eastAsia="es-MX"/>
        </w:rPr>
        <w:t xml:space="preserve"> e</w:t>
      </w:r>
      <w:r w:rsidR="00446C8D">
        <w:rPr>
          <w:lang w:val="es-MX" w:eastAsia="es-MX"/>
        </w:rPr>
        <w:t>n nuestro modelo; lo anterior</w:t>
      </w:r>
      <w:r w:rsidRPr="004B4429">
        <w:rPr>
          <w:lang w:val="es-MX" w:eastAsia="es-MX"/>
        </w:rPr>
        <w:t xml:space="preserve"> correlaciona con obser</w:t>
      </w:r>
      <w:r w:rsidR="006E5257">
        <w:rPr>
          <w:lang w:val="es-MX" w:eastAsia="es-MX"/>
        </w:rPr>
        <w:t>vaciones de otros autores en donde</w:t>
      </w:r>
      <w:r w:rsidRPr="004B4429">
        <w:rPr>
          <w:lang w:val="es-MX" w:eastAsia="es-MX"/>
        </w:rPr>
        <w:t xml:space="preserve"> el aumento de IL-1β puede aumentar la producción de IL-6 por parte de células de la microglía y astrocitos, siendo predominante en la</w:t>
      </w:r>
      <w:r w:rsidR="00875D78">
        <w:rPr>
          <w:lang w:val="es-MX" w:eastAsia="es-MX"/>
        </w:rPr>
        <w:t>s primeras</w:t>
      </w:r>
      <w:r w:rsidR="00E2179B" w:rsidRPr="004B4429">
        <w:rPr>
          <w:lang w:val="es-MX" w:eastAsia="es-MX"/>
        </w:rPr>
        <w:t xml:space="preserve"> </w:t>
      </w:r>
      <w:r w:rsidR="004B4429" w:rsidRPr="004B4429">
        <w:rPr>
          <w:lang w:val="es-MX" w:eastAsia="es-MX"/>
        </w:rPr>
        <w:t>[</w:t>
      </w:r>
      <w:r w:rsidR="00BF32AB">
        <w:rPr>
          <w:lang w:val="es-MX" w:eastAsia="es-MX"/>
        </w:rPr>
        <w:t>15, 17, 18</w:t>
      </w:r>
      <w:r w:rsidR="00E2179B" w:rsidRPr="00E20BF0">
        <w:rPr>
          <w:lang w:val="es-MX" w:eastAsia="es-MX"/>
        </w:rPr>
        <w:t>].</w:t>
      </w:r>
      <w:r w:rsidRPr="004B4429">
        <w:rPr>
          <w:lang w:val="es-MX" w:eastAsia="es-MX"/>
        </w:rPr>
        <w:t xml:space="preserve"> Esto puede apoyar la teoría de que procesos inflamatorios sistémicos puede</w:t>
      </w:r>
      <w:r w:rsidR="006E5257">
        <w:rPr>
          <w:lang w:val="es-MX" w:eastAsia="es-MX"/>
        </w:rPr>
        <w:t>n inducir</w:t>
      </w:r>
      <w:r w:rsidRPr="004B4429">
        <w:rPr>
          <w:lang w:val="es-MX" w:eastAsia="es-MX"/>
        </w:rPr>
        <w:t xml:space="preserve"> respuestas locales en SNC siendo un puente i</w:t>
      </w:r>
      <w:r w:rsidR="00875D78">
        <w:rPr>
          <w:lang w:val="es-MX" w:eastAsia="es-MX"/>
        </w:rPr>
        <w:t>mportante a la neuroinflamación,</w:t>
      </w:r>
      <w:r w:rsidRPr="004B4429">
        <w:rPr>
          <w:lang w:val="es-MX" w:eastAsia="es-MX"/>
        </w:rPr>
        <w:t xml:space="preserve"> sin embargo, los mecanismos por los que las citocinas como IL-1β estimulan a las células de la micr</w:t>
      </w:r>
      <w:r w:rsidR="006E5257">
        <w:rPr>
          <w:lang w:val="es-MX" w:eastAsia="es-MX"/>
        </w:rPr>
        <w:t>oglía no</w:t>
      </w:r>
      <w:r w:rsidR="00095F49">
        <w:rPr>
          <w:lang w:val="es-MX" w:eastAsia="es-MX"/>
        </w:rPr>
        <w:t xml:space="preserve"> son</w:t>
      </w:r>
      <w:r w:rsidRPr="004B4429">
        <w:rPr>
          <w:lang w:val="es-MX" w:eastAsia="es-MX"/>
        </w:rPr>
        <w:t xml:space="preserve"> claros todavía. </w:t>
      </w:r>
    </w:p>
    <w:p w14:paraId="280C0B07" w14:textId="77777777" w:rsidR="00306C00" w:rsidRPr="004B4429" w:rsidRDefault="00306C00" w:rsidP="00306C00">
      <w:pPr>
        <w:adjustRightInd w:val="0"/>
        <w:jc w:val="both"/>
        <w:rPr>
          <w:lang w:val="es-MX" w:eastAsia="es-MX"/>
        </w:rPr>
      </w:pPr>
    </w:p>
    <w:p w14:paraId="0DF9BEEE" w14:textId="77777777" w:rsidR="001B53EC" w:rsidRPr="007466A6" w:rsidRDefault="00AC19FB" w:rsidP="00A60883">
      <w:pPr>
        <w:adjustRightInd w:val="0"/>
        <w:jc w:val="both"/>
        <w:rPr>
          <w:lang w:val="es-MX" w:eastAsia="es-MX"/>
        </w:rPr>
      </w:pPr>
      <w:r w:rsidRPr="009E4D21">
        <w:rPr>
          <w:highlight w:val="yellow"/>
          <w:lang w:val="es-MX" w:eastAsia="es-MX"/>
        </w:rPr>
        <w:t>El incremento de TNFα en</w:t>
      </w:r>
      <w:r w:rsidR="001B53EC" w:rsidRPr="009E4D21">
        <w:rPr>
          <w:highlight w:val="yellow"/>
          <w:lang w:val="es-MX" w:eastAsia="es-MX"/>
        </w:rPr>
        <w:t xml:space="preserve"> </w:t>
      </w:r>
      <w:r w:rsidR="00D54B74" w:rsidRPr="009E4D21">
        <w:rPr>
          <w:highlight w:val="yellow"/>
          <w:lang w:val="es-MX" w:eastAsia="es-MX"/>
        </w:rPr>
        <w:t>suero</w:t>
      </w:r>
      <w:r w:rsidRPr="009E4D21">
        <w:rPr>
          <w:highlight w:val="yellow"/>
          <w:lang w:val="es-MX" w:eastAsia="es-MX"/>
        </w:rPr>
        <w:t xml:space="preserve"> a las 3 horas, en nuestro trabajo,</w:t>
      </w:r>
      <w:r w:rsidR="00773FF6" w:rsidRPr="009E4D21">
        <w:rPr>
          <w:highlight w:val="yellow"/>
          <w:lang w:val="es-MX" w:eastAsia="es-MX"/>
        </w:rPr>
        <w:t xml:space="preserve"> </w:t>
      </w:r>
      <w:r w:rsidR="001C5130" w:rsidRPr="009E4D21">
        <w:rPr>
          <w:highlight w:val="yellow"/>
          <w:lang w:val="es-MX" w:eastAsia="es-MX"/>
        </w:rPr>
        <w:t>correlaciona</w:t>
      </w:r>
      <w:r w:rsidR="001B53EC" w:rsidRPr="009E4D21">
        <w:rPr>
          <w:highlight w:val="yellow"/>
          <w:lang w:val="es-MX" w:eastAsia="es-MX"/>
        </w:rPr>
        <w:t xml:space="preserve"> con el con</w:t>
      </w:r>
      <w:r w:rsidR="001C5130" w:rsidRPr="009E4D21">
        <w:rPr>
          <w:highlight w:val="yellow"/>
          <w:lang w:val="es-MX" w:eastAsia="es-MX"/>
        </w:rPr>
        <w:t xml:space="preserve">ocimiento de </w:t>
      </w:r>
      <w:r w:rsidR="00E25EF9" w:rsidRPr="009E4D21">
        <w:rPr>
          <w:highlight w:val="yellow"/>
          <w:lang w:val="es-MX" w:eastAsia="es-MX"/>
        </w:rPr>
        <w:t>que,</w:t>
      </w:r>
      <w:r w:rsidR="001C5130" w:rsidRPr="009E4D21">
        <w:rPr>
          <w:highlight w:val="yellow"/>
          <w:lang w:val="es-MX" w:eastAsia="es-MX"/>
        </w:rPr>
        <w:t xml:space="preserve"> en la </w:t>
      </w:r>
      <w:r w:rsidR="00E25EF9" w:rsidRPr="009E4D21">
        <w:rPr>
          <w:highlight w:val="yellow"/>
          <w:lang w:val="es-MX" w:eastAsia="es-MX"/>
        </w:rPr>
        <w:t xml:space="preserve">sepsis, </w:t>
      </w:r>
      <w:r w:rsidR="001B53EC" w:rsidRPr="009E4D21">
        <w:rPr>
          <w:highlight w:val="yellow"/>
          <w:lang w:val="es-MX" w:eastAsia="es-MX"/>
        </w:rPr>
        <w:t>es l</w:t>
      </w:r>
      <w:r w:rsidR="001C5130" w:rsidRPr="009E4D21">
        <w:rPr>
          <w:highlight w:val="yellow"/>
          <w:lang w:val="es-MX" w:eastAsia="es-MX"/>
        </w:rPr>
        <w:t xml:space="preserve">a primera citocina </w:t>
      </w:r>
      <w:r w:rsidR="001B53EC" w:rsidRPr="009E4D21">
        <w:rPr>
          <w:highlight w:val="yellow"/>
          <w:lang w:val="es-MX" w:eastAsia="es-MX"/>
        </w:rPr>
        <w:t>que se eleva a ni</w:t>
      </w:r>
      <w:r w:rsidR="004C2497" w:rsidRPr="009E4D21">
        <w:rPr>
          <w:highlight w:val="yellow"/>
          <w:lang w:val="es-MX" w:eastAsia="es-MX"/>
        </w:rPr>
        <w:t>vel sérico</w:t>
      </w:r>
      <w:r w:rsidR="00E2179B" w:rsidRPr="009E4D21">
        <w:rPr>
          <w:highlight w:val="yellow"/>
          <w:lang w:val="es-MX" w:eastAsia="es-MX"/>
        </w:rPr>
        <w:t>.</w:t>
      </w:r>
      <w:r w:rsidR="001B53EC" w:rsidRPr="009E4D21">
        <w:rPr>
          <w:highlight w:val="yellow"/>
          <w:lang w:val="es-MX" w:eastAsia="es-MX"/>
        </w:rPr>
        <w:t xml:space="preserve"> De igual manera, se ha visto que TNFα tiene una importancia crítica durante el choque endotóxico causando daño tisular junto con o</w:t>
      </w:r>
      <w:r w:rsidR="00C84159" w:rsidRPr="009E4D21">
        <w:rPr>
          <w:highlight w:val="yellow"/>
          <w:lang w:val="es-MX" w:eastAsia="es-MX"/>
        </w:rPr>
        <w:t>tras citoc</w:t>
      </w:r>
      <w:r w:rsidR="001B53EC" w:rsidRPr="009E4D21">
        <w:rPr>
          <w:highlight w:val="yellow"/>
          <w:lang w:val="es-MX" w:eastAsia="es-MX"/>
        </w:rPr>
        <w:t>inas proinflam</w:t>
      </w:r>
      <w:r w:rsidR="00E2179B" w:rsidRPr="009E4D21">
        <w:rPr>
          <w:highlight w:val="yellow"/>
          <w:lang w:val="es-MX" w:eastAsia="es-MX"/>
        </w:rPr>
        <w:t>atorias como IL-1, IL-6 e IL-8</w:t>
      </w:r>
      <w:r w:rsidR="00E2179B" w:rsidRPr="004B4429">
        <w:rPr>
          <w:lang w:val="es-MX" w:eastAsia="es-MX"/>
        </w:rPr>
        <w:t xml:space="preserve"> </w:t>
      </w:r>
      <w:r w:rsidR="00BF32AB">
        <w:rPr>
          <w:lang w:val="es-MX" w:eastAsia="es-MX"/>
        </w:rPr>
        <w:t>[5</w:t>
      </w:r>
      <w:r w:rsidR="00E2179B" w:rsidRPr="004B4429">
        <w:rPr>
          <w:lang w:val="es-MX" w:eastAsia="es-MX"/>
        </w:rPr>
        <w:t>].</w:t>
      </w:r>
    </w:p>
    <w:p w14:paraId="411E788B" w14:textId="77777777" w:rsidR="001B53EC" w:rsidRPr="007466A6" w:rsidRDefault="001B53EC" w:rsidP="001B53EC">
      <w:pPr>
        <w:adjustRightInd w:val="0"/>
        <w:ind w:firstLine="202"/>
        <w:jc w:val="both"/>
        <w:rPr>
          <w:lang w:val="es-MX" w:eastAsia="es-MX"/>
        </w:rPr>
      </w:pPr>
    </w:p>
    <w:p w14:paraId="49033C4B" w14:textId="732DFACD" w:rsidR="00030A76" w:rsidRPr="00EA2FE5" w:rsidRDefault="001B53EC" w:rsidP="00EA2FE5">
      <w:pPr>
        <w:adjustRightInd w:val="0"/>
        <w:jc w:val="both"/>
        <w:rPr>
          <w:lang w:val="es-MX" w:eastAsia="es-MX"/>
        </w:rPr>
      </w:pPr>
      <w:r w:rsidRPr="007466A6">
        <w:rPr>
          <w:lang w:val="es-MX" w:eastAsia="es-MX"/>
        </w:rPr>
        <w:t>En la observación de células gliales por inmunofluor</w:t>
      </w:r>
      <w:r w:rsidR="00AC19FB">
        <w:rPr>
          <w:lang w:val="es-MX" w:eastAsia="es-MX"/>
        </w:rPr>
        <w:t>escencia encontramos</w:t>
      </w:r>
      <w:r w:rsidR="00E06677">
        <w:rPr>
          <w:lang w:val="es-MX" w:eastAsia="es-MX"/>
        </w:rPr>
        <w:t xml:space="preserve"> una</w:t>
      </w:r>
      <w:r w:rsidRPr="007466A6">
        <w:rPr>
          <w:lang w:val="es-MX" w:eastAsia="es-MX"/>
        </w:rPr>
        <w:t xml:space="preserve"> activaci</w:t>
      </w:r>
      <w:r w:rsidR="00C84159">
        <w:rPr>
          <w:lang w:val="es-MX" w:eastAsia="es-MX"/>
        </w:rPr>
        <w:t>ón</w:t>
      </w:r>
      <w:r w:rsidR="00E06677">
        <w:rPr>
          <w:lang w:val="es-MX" w:eastAsia="es-MX"/>
        </w:rPr>
        <w:t xml:space="preserve"> importante</w:t>
      </w:r>
      <w:r w:rsidR="00C84159">
        <w:rPr>
          <w:lang w:val="es-MX" w:eastAsia="es-MX"/>
        </w:rPr>
        <w:t xml:space="preserve"> de </w:t>
      </w:r>
      <w:r w:rsidRPr="007466A6">
        <w:rPr>
          <w:lang w:val="es-MX" w:eastAsia="es-MX"/>
        </w:rPr>
        <w:t>astrocitos</w:t>
      </w:r>
      <w:r w:rsidR="00E06677">
        <w:rPr>
          <w:lang w:val="es-MX" w:eastAsia="es-MX"/>
        </w:rPr>
        <w:t>,</w:t>
      </w:r>
      <w:r w:rsidR="004C2497" w:rsidRPr="007466A6">
        <w:rPr>
          <w:lang w:val="es-MX" w:eastAsia="es-MX"/>
        </w:rPr>
        <w:t xml:space="preserve"> con lo que se apoya</w:t>
      </w:r>
      <w:r w:rsidRPr="007466A6">
        <w:rPr>
          <w:lang w:val="es-MX" w:eastAsia="es-MX"/>
        </w:rPr>
        <w:t xml:space="preserve"> la idea de que en modelos de inflamación sistémica</w:t>
      </w:r>
      <w:r w:rsidR="009E6956">
        <w:rPr>
          <w:lang w:val="es-MX" w:eastAsia="es-MX"/>
        </w:rPr>
        <w:t xml:space="preserve"> la respuesta se extiende incluso a sitios privilegiados del sistema inmunológico, ocasionando así</w:t>
      </w:r>
      <w:r w:rsidRPr="007466A6">
        <w:rPr>
          <w:lang w:val="es-MX" w:eastAsia="es-MX"/>
        </w:rPr>
        <w:t xml:space="preserve"> una</w:t>
      </w:r>
      <w:r w:rsidR="009B22D2">
        <w:rPr>
          <w:lang w:val="es-MX" w:eastAsia="es-MX"/>
        </w:rPr>
        <w:t xml:space="preserve"> respuesta inflamatoria</w:t>
      </w:r>
      <w:r w:rsidR="009E6956">
        <w:rPr>
          <w:lang w:val="es-MX" w:eastAsia="es-MX"/>
        </w:rPr>
        <w:t xml:space="preserve"> </w:t>
      </w:r>
      <w:r w:rsidR="009E48AB">
        <w:rPr>
          <w:lang w:val="es-MX" w:eastAsia="es-MX"/>
        </w:rPr>
        <w:t>sincrónica</w:t>
      </w:r>
      <w:r w:rsidR="009B22D2">
        <w:rPr>
          <w:lang w:val="es-MX" w:eastAsia="es-MX"/>
        </w:rPr>
        <w:t xml:space="preserve"> en SNC [6, 7</w:t>
      </w:r>
      <w:r w:rsidR="00204F0A">
        <w:rPr>
          <w:lang w:val="es-MX" w:eastAsia="es-MX"/>
        </w:rPr>
        <w:t xml:space="preserve">, </w:t>
      </w:r>
      <w:r w:rsidR="00FE1C3F">
        <w:rPr>
          <w:lang w:val="es-MX" w:eastAsia="es-MX"/>
        </w:rPr>
        <w:t>12</w:t>
      </w:r>
      <w:r w:rsidR="00E2179B" w:rsidRPr="004B4429">
        <w:rPr>
          <w:lang w:val="es-MX" w:eastAsia="es-MX"/>
        </w:rPr>
        <w:t>].</w:t>
      </w:r>
    </w:p>
    <w:p w14:paraId="1C2CF43F" w14:textId="77777777" w:rsidR="00E61D53" w:rsidRPr="00E61D53" w:rsidRDefault="00FD155A" w:rsidP="00E61D53">
      <w:pPr>
        <w:pStyle w:val="Ttulo1"/>
        <w:rPr>
          <w:lang w:val="es-MX" w:eastAsia="es-MX"/>
        </w:rPr>
      </w:pPr>
      <w:r w:rsidRPr="00E61D53">
        <w:rPr>
          <w:lang w:val="es-ES"/>
        </w:rPr>
        <w:t>Conclusiones</w:t>
      </w:r>
    </w:p>
    <w:p w14:paraId="03A2D70D" w14:textId="5ACC286E" w:rsidR="00030A76" w:rsidRPr="00E61D53" w:rsidRDefault="009B22D2" w:rsidP="00E61D53">
      <w:pPr>
        <w:jc w:val="both"/>
        <w:rPr>
          <w:lang w:val="es-MX" w:eastAsia="es-MX"/>
        </w:rPr>
      </w:pPr>
      <w:r w:rsidRPr="009E4D21">
        <w:rPr>
          <w:highlight w:val="yellow"/>
          <w:lang w:val="es-MX" w:eastAsia="es-MX"/>
        </w:rPr>
        <w:t>La inoculación i</w:t>
      </w:r>
      <w:r w:rsidR="004F0710" w:rsidRPr="009E4D21">
        <w:rPr>
          <w:highlight w:val="yellow"/>
          <w:lang w:val="es-MX" w:eastAsia="es-MX"/>
        </w:rPr>
        <w:t>ntra</w:t>
      </w:r>
      <w:r w:rsidRPr="009E4D21">
        <w:rPr>
          <w:highlight w:val="yellow"/>
          <w:lang w:val="es-MX" w:eastAsia="es-MX"/>
        </w:rPr>
        <w:t>p</w:t>
      </w:r>
      <w:r w:rsidR="004F0710" w:rsidRPr="009E4D21">
        <w:rPr>
          <w:highlight w:val="yellow"/>
          <w:lang w:val="es-MX" w:eastAsia="es-MX"/>
        </w:rPr>
        <w:t>eritoneal</w:t>
      </w:r>
      <w:r w:rsidRPr="009E4D21">
        <w:rPr>
          <w:highlight w:val="yellow"/>
          <w:lang w:val="es-MX" w:eastAsia="es-MX"/>
        </w:rPr>
        <w:t xml:space="preserve"> de LPS desencadenó en </w:t>
      </w:r>
      <w:r w:rsidR="00875727" w:rsidRPr="009E4D21">
        <w:rPr>
          <w:highlight w:val="yellow"/>
          <w:lang w:val="es-MX" w:eastAsia="es-MX"/>
        </w:rPr>
        <w:t xml:space="preserve">los </w:t>
      </w:r>
      <w:r w:rsidR="00FF51A8" w:rsidRPr="009E4D21">
        <w:rPr>
          <w:highlight w:val="yellow"/>
          <w:lang w:val="es-MX" w:eastAsia="es-MX"/>
        </w:rPr>
        <w:t>ratones</w:t>
      </w:r>
      <w:r w:rsidRPr="009E4D21">
        <w:rPr>
          <w:highlight w:val="yellow"/>
          <w:lang w:val="es-MX" w:eastAsia="es-MX"/>
        </w:rPr>
        <w:t xml:space="preserve"> cambios conductuales y</w:t>
      </w:r>
      <w:r w:rsidR="00D54B74" w:rsidRPr="009E4D21">
        <w:rPr>
          <w:highlight w:val="yellow"/>
          <w:lang w:val="es-MX" w:eastAsia="es-MX"/>
        </w:rPr>
        <w:t xml:space="preserve"> una respuesta inflamatoria sist</w:t>
      </w:r>
      <w:r w:rsidRPr="009E4D21">
        <w:rPr>
          <w:highlight w:val="yellow"/>
          <w:lang w:val="es-MX" w:eastAsia="es-MX"/>
        </w:rPr>
        <w:t>émica. TNFα fue la citocina con mayor elevación en suero</w:t>
      </w:r>
      <w:r w:rsidR="00D54B74" w:rsidRPr="009E4D21">
        <w:rPr>
          <w:highlight w:val="yellow"/>
          <w:lang w:val="es-MX" w:eastAsia="es-MX"/>
        </w:rPr>
        <w:t>, coincidiendo así con la historia natur</w:t>
      </w:r>
      <w:r w:rsidR="001C5130" w:rsidRPr="009E4D21">
        <w:rPr>
          <w:highlight w:val="yellow"/>
          <w:lang w:val="es-MX" w:eastAsia="es-MX"/>
        </w:rPr>
        <w:t>al del síndrome</w:t>
      </w:r>
      <w:r w:rsidR="00D54B74" w:rsidRPr="009E4D21">
        <w:rPr>
          <w:highlight w:val="yellow"/>
          <w:lang w:val="es-MX" w:eastAsia="es-MX"/>
        </w:rPr>
        <w:t xml:space="preserve">. </w:t>
      </w:r>
      <w:r w:rsidR="00FF51A8" w:rsidRPr="009E4D21">
        <w:rPr>
          <w:highlight w:val="yellow"/>
          <w:lang w:val="es-MX" w:eastAsia="es-MX"/>
        </w:rPr>
        <w:t xml:space="preserve">De igual manera, </w:t>
      </w:r>
      <w:r w:rsidR="004143F2" w:rsidRPr="009E4D21">
        <w:rPr>
          <w:highlight w:val="yellow"/>
          <w:lang w:val="es-MX" w:eastAsia="es-MX"/>
        </w:rPr>
        <w:t>la inoculación sistémica de LPS</w:t>
      </w:r>
      <w:r w:rsidR="00FF51A8" w:rsidRPr="009E4D21">
        <w:rPr>
          <w:highlight w:val="yellow"/>
          <w:lang w:val="es-MX" w:eastAsia="es-MX"/>
        </w:rPr>
        <w:t xml:space="preserve"> promovió la síntesis </w:t>
      </w:r>
      <w:bookmarkStart w:id="1" w:name="_GoBack"/>
      <w:bookmarkEnd w:id="1"/>
      <w:r w:rsidR="00FF51A8" w:rsidRPr="009E4D21">
        <w:rPr>
          <w:highlight w:val="yellow"/>
          <w:lang w:val="es-MX" w:eastAsia="es-MX"/>
        </w:rPr>
        <w:t xml:space="preserve">de </w:t>
      </w:r>
      <w:r w:rsidR="00D22153" w:rsidRPr="009E4D21">
        <w:rPr>
          <w:highlight w:val="yellow"/>
          <w:lang w:val="es-MX" w:eastAsia="es-MX"/>
        </w:rPr>
        <w:t xml:space="preserve">IL-6 </w:t>
      </w:r>
      <w:r w:rsidR="00FF51A8" w:rsidRPr="009E4D21">
        <w:rPr>
          <w:highlight w:val="yellow"/>
          <w:lang w:val="es-MX" w:eastAsia="es-MX"/>
        </w:rPr>
        <w:t>de</w:t>
      </w:r>
      <w:r w:rsidR="00D22153" w:rsidRPr="009E4D21">
        <w:rPr>
          <w:highlight w:val="yellow"/>
          <w:lang w:val="es-MX" w:eastAsia="es-MX"/>
        </w:rPr>
        <w:t xml:space="preserve"> manera importante</w:t>
      </w:r>
      <w:r w:rsidR="00B8377C" w:rsidRPr="009E4D21">
        <w:rPr>
          <w:highlight w:val="yellow"/>
          <w:lang w:val="es-MX" w:eastAsia="es-MX"/>
        </w:rPr>
        <w:t xml:space="preserve"> en SNC, por lo</w:t>
      </w:r>
      <w:r w:rsidR="00EF1183" w:rsidRPr="009E4D21">
        <w:rPr>
          <w:highlight w:val="yellow"/>
          <w:lang w:val="es-MX" w:eastAsia="es-MX"/>
        </w:rPr>
        <w:t xml:space="preserve"> que las concentraciones de esta citocina podrían asociarse</w:t>
      </w:r>
      <w:r w:rsidR="00875D78" w:rsidRPr="009E4D21">
        <w:rPr>
          <w:highlight w:val="yellow"/>
          <w:lang w:val="es-MX" w:eastAsia="es-MX"/>
        </w:rPr>
        <w:t xml:space="preserve"> </w:t>
      </w:r>
      <w:r w:rsidR="00D54B74" w:rsidRPr="009E4D21">
        <w:rPr>
          <w:highlight w:val="yellow"/>
          <w:lang w:val="es-MX" w:eastAsia="es-MX"/>
        </w:rPr>
        <w:t>con</w:t>
      </w:r>
      <w:r w:rsidR="00AE61DE" w:rsidRPr="009E4D21">
        <w:rPr>
          <w:highlight w:val="yellow"/>
          <w:lang w:val="es-MX" w:eastAsia="es-MX"/>
        </w:rPr>
        <w:t xml:space="preserve"> las</w:t>
      </w:r>
      <w:r w:rsidR="00D54B74" w:rsidRPr="009E4D21">
        <w:rPr>
          <w:highlight w:val="yellow"/>
          <w:lang w:val="es-MX" w:eastAsia="es-MX"/>
        </w:rPr>
        <w:t xml:space="preserve"> </w:t>
      </w:r>
      <w:r w:rsidR="00EF1183" w:rsidRPr="009E4D21">
        <w:rPr>
          <w:highlight w:val="yellow"/>
          <w:lang w:val="es-MX" w:eastAsia="es-MX"/>
        </w:rPr>
        <w:t>alteraciones en</w:t>
      </w:r>
      <w:r w:rsidR="00D54B74" w:rsidRPr="009E4D21">
        <w:rPr>
          <w:highlight w:val="yellow"/>
          <w:lang w:val="es-MX" w:eastAsia="es-MX"/>
        </w:rPr>
        <w:t xml:space="preserve"> la actividad </w:t>
      </w:r>
      <w:r w:rsidR="00875D78" w:rsidRPr="009E4D21">
        <w:rPr>
          <w:highlight w:val="yellow"/>
          <w:lang w:val="es-MX" w:eastAsia="es-MX"/>
        </w:rPr>
        <w:t>conductual</w:t>
      </w:r>
      <w:r w:rsidR="00EF1183" w:rsidRPr="009E4D21">
        <w:rPr>
          <w:highlight w:val="yellow"/>
          <w:lang w:val="es-MX" w:eastAsia="es-MX"/>
        </w:rPr>
        <w:t xml:space="preserve"> observadas</w:t>
      </w:r>
      <w:r w:rsidR="00D54B74" w:rsidRPr="009E4D21">
        <w:rPr>
          <w:highlight w:val="yellow"/>
          <w:lang w:val="es-MX" w:eastAsia="es-MX"/>
        </w:rPr>
        <w:t>.</w:t>
      </w:r>
      <w:r w:rsidR="00D54B74" w:rsidRPr="00E61D53">
        <w:rPr>
          <w:lang w:val="es-MX" w:eastAsia="es-MX"/>
        </w:rPr>
        <w:t> </w:t>
      </w:r>
    </w:p>
    <w:p w14:paraId="1920D01D" w14:textId="77777777" w:rsidR="005A3F62" w:rsidRPr="006D019A" w:rsidRDefault="006E31C2" w:rsidP="005A3F62">
      <w:pPr>
        <w:pStyle w:val="ReferenceHead"/>
        <w:rPr>
          <w:lang w:val="es-ES"/>
        </w:rPr>
      </w:pPr>
      <w:r w:rsidRPr="006D019A">
        <w:rPr>
          <w:lang w:val="es-ES"/>
        </w:rPr>
        <w:t>Referencia</w:t>
      </w:r>
      <w:r w:rsidR="00F540A6" w:rsidRPr="006D019A">
        <w:rPr>
          <w:lang w:val="es-ES"/>
        </w:rPr>
        <w:t>s</w:t>
      </w:r>
    </w:p>
    <w:p w14:paraId="1ADC9977" w14:textId="77777777" w:rsidR="003E4FB1" w:rsidRPr="00413462" w:rsidRDefault="003E4FB1" w:rsidP="00A437E6">
      <w:pPr>
        <w:pStyle w:val="References"/>
        <w:numPr>
          <w:ilvl w:val="0"/>
          <w:numId w:val="28"/>
        </w:numPr>
        <w:rPr>
          <w:lang w:val="es-MX"/>
        </w:rPr>
      </w:pPr>
      <w:r w:rsidRPr="00413462">
        <w:rPr>
          <w:lang w:val="es-MX"/>
        </w:rPr>
        <w:t xml:space="preserve">J. F. Martín-Ramírez </w:t>
      </w:r>
      <w:r w:rsidRPr="00413462">
        <w:rPr>
          <w:i/>
          <w:lang w:val="es-MX"/>
        </w:rPr>
        <w:t>et al</w:t>
      </w:r>
      <w:r w:rsidRPr="00413462">
        <w:rPr>
          <w:lang w:val="es-MX"/>
        </w:rPr>
        <w:t xml:space="preserve">, “Sepsis,” </w:t>
      </w:r>
      <w:r w:rsidRPr="00413462">
        <w:rPr>
          <w:i/>
          <w:lang w:val="es-MX"/>
        </w:rPr>
        <w:t>Med. Int. Méx.</w:t>
      </w:r>
      <w:r w:rsidRPr="00413462">
        <w:rPr>
          <w:lang w:val="es-MX"/>
        </w:rPr>
        <w:t>, vol. 30, no. 2, pp. 159-175, abr. 2014.</w:t>
      </w:r>
    </w:p>
    <w:p w14:paraId="1BF83529" w14:textId="77777777" w:rsidR="00204F0A" w:rsidRDefault="00204F0A" w:rsidP="00204F0A">
      <w:pPr>
        <w:pStyle w:val="References"/>
        <w:numPr>
          <w:ilvl w:val="0"/>
          <w:numId w:val="28"/>
        </w:numPr>
        <w:rPr>
          <w:lang w:val="es-MX"/>
        </w:rPr>
      </w:pPr>
      <w:r w:rsidRPr="00413462">
        <w:rPr>
          <w:lang w:val="es-MX"/>
        </w:rPr>
        <w:t xml:space="preserve">R. Carrillo-Esper </w:t>
      </w:r>
      <w:r w:rsidRPr="00413462">
        <w:rPr>
          <w:i/>
          <w:lang w:val="es-MX"/>
        </w:rPr>
        <w:t>et al</w:t>
      </w:r>
      <w:r w:rsidRPr="00413462">
        <w:rPr>
          <w:lang w:val="es-MX"/>
        </w:rPr>
        <w:t xml:space="preserve">, “Estudio epidemiológico de la sepsis en unidades de terapia intensiva mexicanas,” </w:t>
      </w:r>
      <w:r w:rsidRPr="00413462">
        <w:rPr>
          <w:i/>
          <w:lang w:val="es-MX"/>
        </w:rPr>
        <w:t>Cir. Cir.</w:t>
      </w:r>
      <w:r w:rsidRPr="00413462">
        <w:rPr>
          <w:lang w:val="es-MX"/>
        </w:rPr>
        <w:t>, vol. 77, no. 4, pp. 301-308, jul. 2009.</w:t>
      </w:r>
    </w:p>
    <w:p w14:paraId="1C1C31F3" w14:textId="77777777" w:rsidR="003E4FB1" w:rsidRPr="00413462" w:rsidRDefault="003E4FB1" w:rsidP="00A437E6">
      <w:pPr>
        <w:pStyle w:val="References"/>
        <w:numPr>
          <w:ilvl w:val="0"/>
          <w:numId w:val="28"/>
        </w:numPr>
        <w:rPr>
          <w:lang w:val="es-MX"/>
        </w:rPr>
      </w:pPr>
      <w:r w:rsidRPr="00413462">
        <w:rPr>
          <w:lang w:val="es-MX"/>
        </w:rPr>
        <w:t xml:space="preserve">P. Murray </w:t>
      </w:r>
      <w:r w:rsidRPr="00413462">
        <w:rPr>
          <w:i/>
          <w:lang w:val="es-MX"/>
        </w:rPr>
        <w:t>et al</w:t>
      </w:r>
      <w:r w:rsidRPr="00413462">
        <w:rPr>
          <w:lang w:val="es-MX"/>
        </w:rPr>
        <w:t xml:space="preserve">, </w:t>
      </w:r>
      <w:r w:rsidRPr="00413462">
        <w:rPr>
          <w:i/>
          <w:lang w:val="es-MX"/>
        </w:rPr>
        <w:t>Microbiología médica</w:t>
      </w:r>
      <w:r w:rsidRPr="00413462">
        <w:rPr>
          <w:lang w:val="es-MX"/>
        </w:rPr>
        <w:t>, 7ª ed. España: Elsevier Saunders, 2013.</w:t>
      </w:r>
    </w:p>
    <w:p w14:paraId="00B4F8C5" w14:textId="77777777" w:rsidR="003E4FB1" w:rsidRPr="00413462" w:rsidRDefault="003E4FB1" w:rsidP="00A437E6">
      <w:pPr>
        <w:pStyle w:val="References"/>
        <w:numPr>
          <w:ilvl w:val="0"/>
          <w:numId w:val="28"/>
        </w:numPr>
      </w:pPr>
      <w:r w:rsidRPr="00413462">
        <w:t xml:space="preserve">G. Ramachandran, “Gram-positive and gram-negative bacterial toxins in sepsis, a brief review,” </w:t>
      </w:r>
      <w:r w:rsidRPr="00413462">
        <w:rPr>
          <w:i/>
        </w:rPr>
        <w:t>Virulence</w:t>
      </w:r>
      <w:r w:rsidRPr="00413462">
        <w:t>, vol. 3, no. 1, pp. 213-218, ene. 2014.</w:t>
      </w:r>
    </w:p>
    <w:p w14:paraId="39B8479A" w14:textId="77777777" w:rsidR="003E4FB1" w:rsidRPr="00413462" w:rsidRDefault="003E4FB1" w:rsidP="00A437E6">
      <w:pPr>
        <w:pStyle w:val="References"/>
        <w:numPr>
          <w:ilvl w:val="0"/>
          <w:numId w:val="28"/>
        </w:numPr>
      </w:pPr>
      <w:r w:rsidRPr="00413462">
        <w:t xml:space="preserve">S. Finfer y J. L. Vincent, “Severe sepsis and septic shock,” </w:t>
      </w:r>
      <w:r w:rsidRPr="00413462">
        <w:rPr>
          <w:i/>
        </w:rPr>
        <w:t>N. Engl. J. Med.</w:t>
      </w:r>
      <w:r w:rsidRPr="00413462">
        <w:t>, vol. 369, no. 9, pp. 840-851, ago. 2013.</w:t>
      </w:r>
    </w:p>
    <w:p w14:paraId="6D9FB4F6" w14:textId="77777777" w:rsidR="00BC2D2B" w:rsidRPr="00413462" w:rsidRDefault="00BC2D2B" w:rsidP="00BC2D2B">
      <w:pPr>
        <w:pStyle w:val="References"/>
        <w:numPr>
          <w:ilvl w:val="0"/>
          <w:numId w:val="28"/>
        </w:numPr>
      </w:pPr>
      <w:r w:rsidRPr="00413462">
        <w:t xml:space="preserve">L. Yao </w:t>
      </w:r>
      <w:r w:rsidRPr="00413462">
        <w:rPr>
          <w:i/>
        </w:rPr>
        <w:t>et al</w:t>
      </w:r>
      <w:r w:rsidRPr="00413462">
        <w:t xml:space="preserve">, “Toll-like receptor 4 mediates microglial activation and production of inflammatory mediators in neonatal rat brain following hypoxia: role of TLR4 in hypoxic microglia,” </w:t>
      </w:r>
      <w:r w:rsidRPr="00413462">
        <w:rPr>
          <w:i/>
        </w:rPr>
        <w:t>J. Neuroinflammation</w:t>
      </w:r>
      <w:r w:rsidRPr="00413462">
        <w:t>, vol. 10, no. 23, pp. 1-21, ene. 2013.</w:t>
      </w:r>
    </w:p>
    <w:p w14:paraId="22EE3AC1" w14:textId="77777777" w:rsidR="003E4FB1" w:rsidRPr="00413462" w:rsidRDefault="003E4FB1" w:rsidP="00A437E6">
      <w:pPr>
        <w:pStyle w:val="References"/>
        <w:numPr>
          <w:ilvl w:val="0"/>
          <w:numId w:val="28"/>
        </w:numPr>
      </w:pPr>
      <w:r w:rsidRPr="00413462">
        <w:t xml:space="preserve">S. J. Sukoff-Rizzo </w:t>
      </w:r>
      <w:r w:rsidRPr="00413462">
        <w:rPr>
          <w:i/>
        </w:rPr>
        <w:t>et al</w:t>
      </w:r>
      <w:r w:rsidRPr="00413462">
        <w:t xml:space="preserve">, “Evidence for sustained elevation of IL-6 in the CNS as a key contributor of depressive-like phenotypes,” </w:t>
      </w:r>
      <w:r w:rsidRPr="00413462">
        <w:rPr>
          <w:i/>
        </w:rPr>
        <w:t>Transl. Psychiatry</w:t>
      </w:r>
      <w:r w:rsidRPr="00413462">
        <w:t>, vol. 199, no. 2, pp. 1-12, oct. 2012.</w:t>
      </w:r>
    </w:p>
    <w:p w14:paraId="2850BB7B" w14:textId="77777777" w:rsidR="003E4FB1" w:rsidRPr="00413462" w:rsidRDefault="003E4FB1" w:rsidP="00A437E6">
      <w:pPr>
        <w:pStyle w:val="References"/>
        <w:numPr>
          <w:ilvl w:val="0"/>
          <w:numId w:val="28"/>
        </w:numPr>
      </w:pPr>
      <w:r w:rsidRPr="00413462">
        <w:t xml:space="preserve">S. M. Ye y R. Johnson, “Increased interleukin-6 expression by microglia from brain of aged mice,” </w:t>
      </w:r>
      <w:r w:rsidRPr="00413462">
        <w:rPr>
          <w:i/>
        </w:rPr>
        <w:t>J. Neuroimmunol.</w:t>
      </w:r>
      <w:r w:rsidRPr="00413462">
        <w:t>, vol. 93, pp. 139-148, sep. 1998.</w:t>
      </w:r>
    </w:p>
    <w:p w14:paraId="3C352E75" w14:textId="77777777" w:rsidR="00FE1C3F" w:rsidRDefault="00FE1C3F" w:rsidP="00FE1C3F">
      <w:pPr>
        <w:pStyle w:val="NormalWeb"/>
        <w:numPr>
          <w:ilvl w:val="0"/>
          <w:numId w:val="28"/>
        </w:numPr>
        <w:spacing w:before="0" w:beforeAutospacing="0" w:after="0" w:afterAutospacing="0"/>
        <w:jc w:val="both"/>
        <w:rPr>
          <w:sz w:val="16"/>
          <w:szCs w:val="16"/>
          <w:lang w:val="en-US" w:eastAsia="en-US"/>
        </w:rPr>
      </w:pPr>
      <w:r>
        <w:rPr>
          <w:sz w:val="16"/>
          <w:szCs w:val="16"/>
          <w:lang w:val="en-US" w:eastAsia="en-US"/>
        </w:rPr>
        <w:t xml:space="preserve">A. </w:t>
      </w:r>
      <w:r w:rsidRPr="00BE68E3">
        <w:rPr>
          <w:sz w:val="16"/>
          <w:szCs w:val="16"/>
          <w:lang w:val="en-US" w:eastAsia="en-US"/>
        </w:rPr>
        <w:t xml:space="preserve">Abbas </w:t>
      </w:r>
      <w:r w:rsidRPr="004B4429">
        <w:rPr>
          <w:i/>
          <w:sz w:val="16"/>
          <w:szCs w:val="16"/>
          <w:lang w:val="en-US" w:eastAsia="en-US"/>
        </w:rPr>
        <w:t>et al</w:t>
      </w:r>
      <w:r w:rsidRPr="00BE68E3">
        <w:rPr>
          <w:sz w:val="16"/>
          <w:szCs w:val="16"/>
          <w:lang w:val="en-US" w:eastAsia="en-US"/>
        </w:rPr>
        <w:t xml:space="preserve">, </w:t>
      </w:r>
      <w:r w:rsidRPr="004B4429">
        <w:rPr>
          <w:i/>
          <w:sz w:val="16"/>
          <w:szCs w:val="16"/>
          <w:lang w:val="en-US" w:eastAsia="en-US"/>
        </w:rPr>
        <w:t>Cellular and molecular immunology</w:t>
      </w:r>
      <w:r w:rsidRPr="00BE68E3">
        <w:rPr>
          <w:sz w:val="16"/>
          <w:szCs w:val="16"/>
          <w:lang w:val="en-US" w:eastAsia="en-US"/>
        </w:rPr>
        <w:t>, 8ª ed. España: Elsevier Saunders, 2015.</w:t>
      </w:r>
    </w:p>
    <w:p w14:paraId="5F441100" w14:textId="77777777" w:rsidR="00204F0A" w:rsidRPr="009B22D2" w:rsidRDefault="00204F0A" w:rsidP="00204F0A">
      <w:pPr>
        <w:pStyle w:val="References"/>
        <w:numPr>
          <w:ilvl w:val="0"/>
          <w:numId w:val="28"/>
        </w:numPr>
      </w:pPr>
      <w:r>
        <w:t xml:space="preserve">J. Middeldorp, “GFAP in health and disease,” </w:t>
      </w:r>
      <w:r w:rsidRPr="008C39EB">
        <w:rPr>
          <w:i/>
        </w:rPr>
        <w:t xml:space="preserve">Prog. </w:t>
      </w:r>
      <w:r w:rsidRPr="00204F0A">
        <w:rPr>
          <w:i/>
        </w:rPr>
        <w:t>Neurobiol.</w:t>
      </w:r>
      <w:r w:rsidRPr="00204F0A">
        <w:t xml:space="preserve">, vol. 93, pp. 421-443, ene. 2011. </w:t>
      </w:r>
    </w:p>
    <w:p w14:paraId="514D0650" w14:textId="77777777" w:rsidR="00204F0A" w:rsidRPr="009B22D2" w:rsidRDefault="00204F0A" w:rsidP="00204F0A">
      <w:pPr>
        <w:pStyle w:val="References"/>
        <w:numPr>
          <w:ilvl w:val="0"/>
          <w:numId w:val="28"/>
        </w:numPr>
      </w:pPr>
      <w:r w:rsidRPr="00095F49">
        <w:t xml:space="preserve">H. Baba </w:t>
      </w:r>
      <w:r w:rsidRPr="00095F49">
        <w:rPr>
          <w:i/>
        </w:rPr>
        <w:t>et al</w:t>
      </w:r>
      <w:r w:rsidRPr="00095F49">
        <w:t xml:space="preserve">, </w:t>
      </w:r>
      <w:r>
        <w:t>“GFAP gene e</w:t>
      </w:r>
      <w:r w:rsidRPr="009B22D2">
        <w:t xml:space="preserve">xpression </w:t>
      </w:r>
      <w:r>
        <w:t>during development of astrocyte,”</w:t>
      </w:r>
      <w:r w:rsidRPr="009B22D2">
        <w:t> </w:t>
      </w:r>
      <w:r>
        <w:rPr>
          <w:i/>
          <w:iCs/>
        </w:rPr>
        <w:t>Dev. Neurosci.</w:t>
      </w:r>
      <w:r w:rsidRPr="009B22D2">
        <w:t>,</w:t>
      </w:r>
      <w:r>
        <w:t xml:space="preserve"> vol. 19</w:t>
      </w:r>
      <w:r w:rsidRPr="009B22D2">
        <w:t>, pp.</w:t>
      </w:r>
      <w:r>
        <w:t xml:space="preserve"> 49-57, jul. 1996.</w:t>
      </w:r>
    </w:p>
    <w:p w14:paraId="12F818B0" w14:textId="77777777" w:rsidR="00B301C2" w:rsidRPr="00B301C2" w:rsidRDefault="003E4FB1" w:rsidP="00B301C2">
      <w:pPr>
        <w:pStyle w:val="References"/>
        <w:numPr>
          <w:ilvl w:val="0"/>
          <w:numId w:val="28"/>
        </w:numPr>
        <w:rPr>
          <w:lang w:val="en-GB"/>
        </w:rPr>
      </w:pPr>
      <w:r w:rsidRPr="00413462">
        <w:t xml:space="preserve">D. T. Skelly </w:t>
      </w:r>
      <w:r w:rsidRPr="009B0BC1">
        <w:rPr>
          <w:i/>
        </w:rPr>
        <w:t>et al</w:t>
      </w:r>
      <w:r w:rsidRPr="00413462">
        <w:t>, “A systematic analysis of the peripheral and CNS effects of Systemic LPS, IL-1</w:t>
      </w:r>
      <w:r w:rsidRPr="00413462">
        <w:rPr>
          <w:lang w:val="es-MX"/>
        </w:rPr>
        <w:t>Β</w:t>
      </w:r>
      <w:r w:rsidRPr="00413462">
        <w:t>, TNF-</w:t>
      </w:r>
      <w:r w:rsidRPr="00413462">
        <w:rPr>
          <w:lang w:val="es-MX"/>
        </w:rPr>
        <w:t>α</w:t>
      </w:r>
      <w:r w:rsidRPr="00413462">
        <w:t xml:space="preserve"> and IL-6 challenges in C57BL/6 mice,” </w:t>
      </w:r>
      <w:r w:rsidRPr="009B0BC1">
        <w:rPr>
          <w:i/>
        </w:rPr>
        <w:t>PloS One</w:t>
      </w:r>
      <w:r w:rsidRPr="00413462">
        <w:t>, vol. 8, no. 7, pp. 1-20, jul. 2013.</w:t>
      </w:r>
    </w:p>
    <w:p w14:paraId="52D7C172" w14:textId="77777777" w:rsidR="00BC2D2B" w:rsidRPr="00BB4B9C" w:rsidRDefault="00BC2D2B" w:rsidP="00BC2D2B">
      <w:pPr>
        <w:pStyle w:val="References"/>
        <w:numPr>
          <w:ilvl w:val="0"/>
          <w:numId w:val="28"/>
        </w:numPr>
        <w:rPr>
          <w:i/>
        </w:rPr>
      </w:pPr>
      <w:r>
        <w:t xml:space="preserve">R. Dantzer </w:t>
      </w:r>
      <w:r>
        <w:rPr>
          <w:i/>
        </w:rPr>
        <w:t>et al</w:t>
      </w:r>
      <w:r>
        <w:t xml:space="preserve">, “From inflammation to sickness and depression: when the immune system subjugates the brain,” </w:t>
      </w:r>
      <w:r w:rsidRPr="00BB4B9C">
        <w:rPr>
          <w:i/>
        </w:rPr>
        <w:t>Nat. Rev. Neurosci.</w:t>
      </w:r>
      <w:r>
        <w:t>, vol. 9, pp. 46-57, ene. 2008.</w:t>
      </w:r>
    </w:p>
    <w:p w14:paraId="3A252461" w14:textId="77777777" w:rsidR="001D23E6" w:rsidRDefault="001D23E6" w:rsidP="001D23E6">
      <w:pPr>
        <w:pStyle w:val="References"/>
        <w:numPr>
          <w:ilvl w:val="0"/>
          <w:numId w:val="28"/>
        </w:numPr>
      </w:pPr>
      <w:r>
        <w:t xml:space="preserve">G. E. Hodes </w:t>
      </w:r>
      <w:r w:rsidRPr="003F6721">
        <w:rPr>
          <w:i/>
        </w:rPr>
        <w:t>et al</w:t>
      </w:r>
      <w:r>
        <w:t xml:space="preserve">, “Integrating interleukin-6 into depression diagnosis and treatment,” </w:t>
      </w:r>
      <w:r w:rsidRPr="00877573">
        <w:rPr>
          <w:i/>
        </w:rPr>
        <w:t>Neurobiol. Stress</w:t>
      </w:r>
      <w:r>
        <w:t>, vol. 6, pp. 1-8, mar. 2016.</w:t>
      </w:r>
    </w:p>
    <w:p w14:paraId="3DF181A5" w14:textId="77777777" w:rsidR="001D23E6" w:rsidRPr="009E4D21" w:rsidRDefault="001D23E6" w:rsidP="001D23E6">
      <w:pPr>
        <w:pStyle w:val="References"/>
        <w:numPr>
          <w:ilvl w:val="0"/>
          <w:numId w:val="28"/>
        </w:numPr>
        <w:rPr>
          <w:highlight w:val="yellow"/>
        </w:rPr>
      </w:pPr>
      <w:r w:rsidRPr="009E4D21">
        <w:rPr>
          <w:highlight w:val="yellow"/>
        </w:rPr>
        <w:t xml:space="preserve">R. Haapakoski </w:t>
      </w:r>
      <w:r w:rsidRPr="009E4D21">
        <w:rPr>
          <w:i/>
          <w:highlight w:val="yellow"/>
        </w:rPr>
        <w:t>et al</w:t>
      </w:r>
      <w:r w:rsidRPr="009E4D21">
        <w:rPr>
          <w:highlight w:val="yellow"/>
        </w:rPr>
        <w:t>, “Cumulative meta-analysis of interleukins 6 and 1</w:t>
      </w:r>
      <w:r w:rsidRPr="009E4D21">
        <w:rPr>
          <w:highlight w:val="yellow"/>
        </w:rPr>
        <w:sym w:font="Symbol" w:char="F062"/>
      </w:r>
      <w:r w:rsidRPr="009E4D21">
        <w:rPr>
          <w:highlight w:val="yellow"/>
        </w:rPr>
        <w:t xml:space="preserve">, tumour necrosis factor </w:t>
      </w:r>
      <w:r w:rsidRPr="009E4D21">
        <w:rPr>
          <w:highlight w:val="yellow"/>
        </w:rPr>
        <w:sym w:font="Symbol" w:char="F061"/>
      </w:r>
      <w:r w:rsidRPr="009E4D21">
        <w:rPr>
          <w:highlight w:val="yellow"/>
        </w:rPr>
        <w:t xml:space="preserve"> and C-reactive protein in patients with major depressive disorder,” </w:t>
      </w:r>
      <w:r w:rsidRPr="009E4D21">
        <w:rPr>
          <w:i/>
          <w:highlight w:val="yellow"/>
        </w:rPr>
        <w:t>Brain Behav. Immun.</w:t>
      </w:r>
      <w:r w:rsidRPr="009E4D21">
        <w:rPr>
          <w:highlight w:val="yellow"/>
        </w:rPr>
        <w:t>, vol. 49, pp. 206-215, jun. 2015.</w:t>
      </w:r>
    </w:p>
    <w:p w14:paraId="750759B3" w14:textId="77777777" w:rsidR="00BC2D2B" w:rsidRPr="009E4D21" w:rsidRDefault="00BC2D2B" w:rsidP="00BC2D2B">
      <w:pPr>
        <w:pStyle w:val="References"/>
        <w:numPr>
          <w:ilvl w:val="0"/>
          <w:numId w:val="28"/>
        </w:numPr>
        <w:rPr>
          <w:highlight w:val="yellow"/>
        </w:rPr>
      </w:pPr>
      <w:r w:rsidRPr="009E4D21">
        <w:rPr>
          <w:highlight w:val="yellow"/>
        </w:rPr>
        <w:t xml:space="preserve">C. Dinarello, “Immunological and inflammatory functions of the interleukin-1 familiy,” </w:t>
      </w:r>
      <w:r w:rsidRPr="009E4D21">
        <w:rPr>
          <w:i/>
          <w:highlight w:val="yellow"/>
        </w:rPr>
        <w:t>Annu. Rev. Immunol.</w:t>
      </w:r>
      <w:r w:rsidRPr="009E4D21">
        <w:rPr>
          <w:highlight w:val="yellow"/>
        </w:rPr>
        <w:t>, vol. 27, pp. 519-550, 2009.</w:t>
      </w:r>
    </w:p>
    <w:p w14:paraId="36092229" w14:textId="757B2EB4" w:rsidR="00BC2D2B" w:rsidRPr="009E4D21" w:rsidRDefault="00BC2D2B" w:rsidP="00BC2D2B">
      <w:pPr>
        <w:pStyle w:val="References"/>
        <w:numPr>
          <w:ilvl w:val="0"/>
          <w:numId w:val="28"/>
        </w:numPr>
        <w:rPr>
          <w:highlight w:val="yellow"/>
        </w:rPr>
      </w:pPr>
      <w:r w:rsidRPr="009E4D21">
        <w:rPr>
          <w:highlight w:val="yellow"/>
        </w:rPr>
        <w:t xml:space="preserve">Z. Kollárova </w:t>
      </w:r>
      <w:r w:rsidRPr="009E4D21">
        <w:rPr>
          <w:i/>
          <w:highlight w:val="yellow"/>
        </w:rPr>
        <w:t>et al</w:t>
      </w:r>
      <w:r w:rsidRPr="009E4D21">
        <w:rPr>
          <w:highlight w:val="yellow"/>
        </w:rPr>
        <w:t>, “Production of IL-1</w:t>
      </w:r>
      <w:r w:rsidRPr="009E4D21">
        <w:rPr>
          <w:highlight w:val="yellow"/>
          <w:lang w:val="es-MX"/>
        </w:rPr>
        <w:t>β</w:t>
      </w:r>
      <w:r w:rsidRPr="009E4D21">
        <w:rPr>
          <w:highlight w:val="yellow"/>
        </w:rPr>
        <w:t xml:space="preserve"> and IL-6 by adherent spleen cells after the stimulation with lipopolysaccharides from salmonella enteritidis strain,” </w:t>
      </w:r>
      <w:r w:rsidRPr="009E4D21">
        <w:rPr>
          <w:i/>
          <w:highlight w:val="yellow"/>
        </w:rPr>
        <w:t xml:space="preserve">Immunopharmacol. </w:t>
      </w:r>
      <w:r w:rsidRPr="009E4D21">
        <w:rPr>
          <w:i/>
          <w:highlight w:val="yellow"/>
          <w:lang w:val="en-GB"/>
        </w:rPr>
        <w:t>Immunotoxicol.</w:t>
      </w:r>
      <w:r w:rsidRPr="009E4D21">
        <w:rPr>
          <w:highlight w:val="yellow"/>
          <w:lang w:val="en-GB"/>
        </w:rPr>
        <w:t>, vol. 18, no. 3, pp. 433-441, 1996.</w:t>
      </w:r>
    </w:p>
    <w:p w14:paraId="17705BBC" w14:textId="760CD350" w:rsidR="00204F0A" w:rsidRPr="00BC2D2B" w:rsidRDefault="00BF4446" w:rsidP="00FE1C3F">
      <w:pPr>
        <w:pStyle w:val="References"/>
        <w:numPr>
          <w:ilvl w:val="0"/>
          <w:numId w:val="28"/>
        </w:numPr>
      </w:pPr>
      <w:r w:rsidRPr="009E4D21">
        <w:rPr>
          <w:noProof/>
          <w:highlight w:val="yellow"/>
          <w:lang w:val="es-ES_tradnl" w:eastAsia="es-ES_tradnl"/>
        </w:rPr>
        <w:pict w14:anchorId="28172E1F">
          <v:shape id="AutoShape 84" o:spid="_x0000_s1030" type="#_x0000_t32" style="position:absolute;left:0;text-align:left;margin-left:344pt;margin-top:117.1pt;width:36pt;height:13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" strokecolor="white">
            <v:stroke endarrow="block"/>
          </v:shape>
        </w:pict>
      </w:r>
      <w:r w:rsidR="00204F0A" w:rsidRPr="009E4D21">
        <w:rPr>
          <w:highlight w:val="yellow"/>
        </w:rPr>
        <w:t xml:space="preserve">C. Hunter y S. Jones, “IL-6 as a keystone cytokine in health and disease,” </w:t>
      </w:r>
      <w:r w:rsidR="00204F0A" w:rsidRPr="009E4D21">
        <w:rPr>
          <w:i/>
          <w:iCs/>
          <w:highlight w:val="yellow"/>
        </w:rPr>
        <w:t>Nat. Immunol.</w:t>
      </w:r>
      <w:r w:rsidR="00204F0A" w:rsidRPr="009E4D21">
        <w:rPr>
          <w:highlight w:val="yellow"/>
        </w:rPr>
        <w:t>, vol. 16, no. 5, pp. 448-457, may. 2015</w:t>
      </w:r>
      <w:r w:rsidR="00204F0A" w:rsidRPr="00BC2D2B">
        <w:t>.</w:t>
      </w:r>
    </w:p>
    <w:sectPr w:rsidR="00204F0A" w:rsidRPr="00BC2D2B" w:rsidSect="006C43AE">
      <w:headerReference w:type="even" r:id="rId13"/>
      <w:headerReference w:type="default" r:id="rId14"/>
      <w:footerReference w:type="even" r:id="rId15"/>
      <w:headerReference w:type="first" r:id="rId16"/>
      <w:pgSz w:w="12240" w:h="15840" w:code="1"/>
      <w:pgMar w:top="1077" w:right="964" w:bottom="907" w:left="964" w:header="431" w:footer="431" w:gutter="0"/>
      <w:cols w:num="2" w:space="28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8B79C" w14:textId="77777777" w:rsidR="00BF4446" w:rsidRDefault="00BF4446">
      <w:r>
        <w:separator/>
      </w:r>
    </w:p>
  </w:endnote>
  <w:endnote w:type="continuationSeparator" w:id="0">
    <w:p w14:paraId="45087053" w14:textId="77777777" w:rsidR="00BF4446" w:rsidRDefault="00BF4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E39A9" w14:textId="77777777" w:rsidR="004C2497" w:rsidRDefault="004C2497" w:rsidP="000B2C7C">
    <w:pPr>
      <w:pStyle w:val="Piedepgina"/>
    </w:pPr>
  </w:p>
  <w:p w14:paraId="44C6BDE5" w14:textId="77777777" w:rsidR="004C2497" w:rsidRDefault="004C24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49887" w14:textId="77777777" w:rsidR="00BF4446" w:rsidRDefault="00BF4446"/>
  </w:footnote>
  <w:footnote w:type="continuationSeparator" w:id="0">
    <w:p w14:paraId="4BA94039" w14:textId="77777777" w:rsidR="00BF4446" w:rsidRDefault="00BF4446">
      <w:r>
        <w:continuationSeparator/>
      </w:r>
    </w:p>
  </w:footnote>
  <w:footnote w:id="1">
    <w:p w14:paraId="635EA49F" w14:textId="77777777" w:rsidR="004C2497" w:rsidRDefault="004C2497" w:rsidP="00FD405A">
      <w:pPr>
        <w:pStyle w:val="Textonotapie"/>
        <w:rPr>
          <w:lang w:val="es-MX"/>
        </w:rPr>
      </w:pPr>
      <w:r>
        <w:rPr>
          <w:vertAlign w:val="superscript"/>
          <w:lang w:val="es-MX"/>
        </w:rPr>
        <w:t>1</w:t>
      </w:r>
      <w:r>
        <w:rPr>
          <w:lang w:val="es-MX"/>
        </w:rPr>
        <w:t>Alumnos de 4º semestre de</w:t>
      </w:r>
      <w:r w:rsidR="00BB474F">
        <w:rPr>
          <w:lang w:val="es-MX"/>
        </w:rPr>
        <w:t xml:space="preserve"> la</w:t>
      </w:r>
      <w:r>
        <w:rPr>
          <w:lang w:val="es-MX"/>
        </w:rPr>
        <w:t xml:space="preserve"> </w:t>
      </w:r>
      <w:r w:rsidR="00BB474F">
        <w:rPr>
          <w:lang w:val="es-MX"/>
        </w:rPr>
        <w:t>Licenciatura en</w:t>
      </w:r>
      <w:r>
        <w:rPr>
          <w:lang w:val="es-MX"/>
        </w:rPr>
        <w:t xml:space="preserve"> Médico Cirujano de la Facultad Mexicana de Medicina de la Universidad la Salle.</w:t>
      </w:r>
    </w:p>
    <w:p w14:paraId="40DE5036" w14:textId="77777777" w:rsidR="004C2497" w:rsidRDefault="004C2497" w:rsidP="00FD405A">
      <w:pPr>
        <w:pStyle w:val="Textonotapie"/>
        <w:rPr>
          <w:lang w:val="es-MX"/>
        </w:rPr>
      </w:pPr>
      <w:r>
        <w:rPr>
          <w:vertAlign w:val="superscript"/>
          <w:lang w:val="es-MX"/>
        </w:rPr>
        <w:t>2</w:t>
      </w:r>
      <w:r>
        <w:rPr>
          <w:lang w:val="es-MX"/>
        </w:rPr>
        <w:t xml:space="preserve">Alumnos de 8º semestre de la </w:t>
      </w:r>
      <w:r w:rsidR="00BB474F">
        <w:rPr>
          <w:lang w:val="es-MX"/>
        </w:rPr>
        <w:t xml:space="preserve">Licenciatura en </w:t>
      </w:r>
      <w:r>
        <w:rPr>
          <w:lang w:val="es-MX"/>
        </w:rPr>
        <w:t>Médico Cirujano de la Facultad Mexicana de Medicina de la Universidad la Salle.</w:t>
      </w:r>
    </w:p>
    <w:p w14:paraId="2BB80966" w14:textId="77777777" w:rsidR="004C2497" w:rsidRDefault="004C2497" w:rsidP="00FD405A">
      <w:pPr>
        <w:pStyle w:val="Textonotapie"/>
        <w:rPr>
          <w:lang w:val="es-MX"/>
        </w:rPr>
      </w:pPr>
      <w:r>
        <w:rPr>
          <w:vertAlign w:val="superscript"/>
          <w:lang w:val="es-MX"/>
        </w:rPr>
        <w:t>3</w:t>
      </w:r>
      <w:r>
        <w:rPr>
          <w:lang w:val="es-MX"/>
        </w:rPr>
        <w:t xml:space="preserve">Alumno de 6º semestre de la </w:t>
      </w:r>
      <w:r w:rsidR="00BB474F">
        <w:rPr>
          <w:lang w:val="es-MX"/>
        </w:rPr>
        <w:t xml:space="preserve">Licenciatura en </w:t>
      </w:r>
      <w:r>
        <w:rPr>
          <w:lang w:val="es-MX"/>
        </w:rPr>
        <w:t>Médico Cirujano de la Facultad Mexicana de Medicina de la Universidad la Salle.</w:t>
      </w:r>
    </w:p>
    <w:p w14:paraId="4E4D6977" w14:textId="77777777" w:rsidR="004C2497" w:rsidRPr="00FD405A" w:rsidRDefault="004C2497" w:rsidP="00FD405A">
      <w:pPr>
        <w:pStyle w:val="Textonotapie"/>
        <w:rPr>
          <w:lang w:val="es-ES"/>
        </w:rPr>
      </w:pPr>
      <w:r>
        <w:rPr>
          <w:lang w:val="es-MX"/>
        </w:rPr>
        <w:t xml:space="preserve">El proyecto fue asesorado por la Dra. </w:t>
      </w:r>
      <w:r w:rsidR="00BB474F">
        <w:rPr>
          <w:lang w:val="es-MX"/>
        </w:rPr>
        <w:t xml:space="preserve">Dulce </w:t>
      </w:r>
      <w:r>
        <w:rPr>
          <w:lang w:val="es-MX"/>
        </w:rPr>
        <w:t>Mar</w:t>
      </w:r>
      <w:r w:rsidR="00745507">
        <w:rPr>
          <w:lang w:val="es-MX"/>
        </w:rPr>
        <w:t>ía Meneses Ruiz, investigadora</w:t>
      </w:r>
      <w:r w:rsidR="00BB474F">
        <w:rPr>
          <w:lang w:val="es-MX"/>
        </w:rPr>
        <w:t xml:space="preserve"> de la Unidad de I</w:t>
      </w:r>
      <w:r>
        <w:rPr>
          <w:lang w:val="es-MX"/>
        </w:rPr>
        <w:t>nvestigación de la Facultad Mexicana</w:t>
      </w:r>
      <w:r w:rsidR="00EC0F61">
        <w:rPr>
          <w:lang w:val="es-MX"/>
        </w:rPr>
        <w:t xml:space="preserve"> de Medicina de la Universidad L</w:t>
      </w:r>
      <w:r>
        <w:rPr>
          <w:lang w:val="es-MX"/>
        </w:rPr>
        <w:t>a Salle.</w:t>
      </w:r>
    </w:p>
    <w:p w14:paraId="0AD3EB27" w14:textId="77777777" w:rsidR="004C2497" w:rsidRPr="00FD405A" w:rsidRDefault="004C2497" w:rsidP="009762EF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694A4" w14:textId="77777777" w:rsidR="004C2497" w:rsidRDefault="004C2497">
    <w:pPr>
      <w:pStyle w:val="Encabezado"/>
      <w:rPr>
        <w:sz w:val="14"/>
      </w:rPr>
    </w:pPr>
  </w:p>
  <w:p w14:paraId="3CC149C5" w14:textId="77777777" w:rsidR="004C2497" w:rsidRPr="000B2C7C" w:rsidRDefault="0068795B">
    <w:pPr>
      <w:pStyle w:val="Encabezado"/>
      <w:rPr>
        <w:sz w:val="22"/>
        <w:lang w:val="es-MX"/>
      </w:rPr>
    </w:pPr>
    <w:r w:rsidRPr="000B2C7C">
      <w:rPr>
        <w:sz w:val="14"/>
      </w:rPr>
      <w:fldChar w:fldCharType="begin"/>
    </w:r>
    <w:r w:rsidR="004C2497" w:rsidRPr="000B2C7C">
      <w:rPr>
        <w:sz w:val="14"/>
        <w:lang w:val="es-MX"/>
      </w:rPr>
      <w:instrText xml:space="preserve"> </w:instrText>
    </w:r>
    <w:r w:rsidR="00D87D07">
      <w:rPr>
        <w:sz w:val="14"/>
        <w:lang w:val="es-MX"/>
      </w:rPr>
      <w:instrText>PAGE</w:instrText>
    </w:r>
    <w:r w:rsidR="004C2497" w:rsidRPr="000B2C7C">
      <w:rPr>
        <w:sz w:val="14"/>
        <w:lang w:val="es-MX"/>
      </w:rPr>
      <w:instrText xml:space="preserve">   \* MERGEFORMAT </w:instrText>
    </w:r>
    <w:r w:rsidRPr="000B2C7C">
      <w:rPr>
        <w:sz w:val="14"/>
      </w:rPr>
      <w:fldChar w:fldCharType="separate"/>
    </w:r>
    <w:r w:rsidR="006C43AE">
      <w:rPr>
        <w:noProof/>
        <w:sz w:val="14"/>
        <w:lang w:val="es-MX"/>
      </w:rPr>
      <w:t>4</w:t>
    </w:r>
    <w:r w:rsidRPr="000B2C7C">
      <w:rPr>
        <w:noProof/>
        <w:sz w:val="14"/>
      </w:rPr>
      <w:fldChar w:fldCharType="end"/>
    </w:r>
    <w:r w:rsidR="004C2497" w:rsidRPr="00074628">
      <w:rPr>
        <w:noProof/>
        <w:sz w:val="14"/>
        <w:lang w:val="es-MX"/>
      </w:rPr>
      <w:tab/>
    </w:r>
    <w:r w:rsidR="004C2497">
      <w:rPr>
        <w:noProof/>
        <w:sz w:val="14"/>
        <w:lang w:val="es-MX"/>
      </w:rPr>
      <w:t xml:space="preserve">                                                                             </w:t>
    </w:r>
    <w:r w:rsidR="004C2497">
      <w:rPr>
        <w:sz w:val="14"/>
        <w:lang w:val="es-MX"/>
      </w:rPr>
      <w:t>MEMORIAS DEL XVII</w:t>
    </w:r>
    <w:r w:rsidR="004C2497" w:rsidRPr="000B2C7C">
      <w:rPr>
        <w:sz w:val="14"/>
        <w:lang w:val="es-MX"/>
      </w:rPr>
      <w:t xml:space="preserve"> CONCURSO</w:t>
    </w:r>
    <w:r w:rsidR="004C2497">
      <w:rPr>
        <w:sz w:val="14"/>
        <w:lang w:val="es-MX"/>
      </w:rPr>
      <w:t xml:space="preserve"> LASALLISTA </w:t>
    </w:r>
    <w:r w:rsidR="004C2497" w:rsidRPr="000B2C7C">
      <w:rPr>
        <w:sz w:val="14"/>
        <w:lang w:val="es-MX"/>
      </w:rPr>
      <w:t xml:space="preserve"> DE INVESTIGACIÓN, DESARROLLO E </w:t>
    </w:r>
    <w:r w:rsidR="004C2497">
      <w:rPr>
        <w:sz w:val="14"/>
        <w:lang w:val="es-MX"/>
      </w:rPr>
      <w:t>INNOVACIÓN CLIDi 2015</w:t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C75A" w14:textId="77777777" w:rsidR="004C2497" w:rsidRDefault="004C2497" w:rsidP="000B2C7C">
    <w:pPr>
      <w:pStyle w:val="Encabezado"/>
      <w:rPr>
        <w:sz w:val="14"/>
        <w:lang w:val="es-MX"/>
      </w:rPr>
    </w:pPr>
  </w:p>
  <w:p w14:paraId="63A19C96" w14:textId="67CEEA87" w:rsidR="004C2497" w:rsidRPr="000B2C7C" w:rsidRDefault="006C43AE" w:rsidP="000B2C7C">
    <w:pPr>
      <w:pStyle w:val="Encabezado"/>
      <w:rPr>
        <w:lang w:val="es-MX"/>
      </w:rPr>
    </w:pPr>
    <w:r>
      <w:rPr>
        <w:sz w:val="14"/>
        <w:szCs w:val="14"/>
        <w:lang w:val="es-MX"/>
      </w:rPr>
      <w:t>MEMORIAS DEL XVII</w:t>
    </w:r>
    <w:r w:rsidRPr="00CE7344">
      <w:rPr>
        <w:sz w:val="14"/>
        <w:szCs w:val="14"/>
        <w:lang w:val="es-MX"/>
      </w:rPr>
      <w:t xml:space="preserve"> CONCURSO </w:t>
    </w:r>
    <w:r>
      <w:rPr>
        <w:sz w:val="14"/>
        <w:szCs w:val="14"/>
        <w:lang w:val="es-MX"/>
      </w:rPr>
      <w:t xml:space="preserve">LASALLISTA </w:t>
    </w:r>
    <w:r w:rsidRPr="00CE7344">
      <w:rPr>
        <w:sz w:val="14"/>
        <w:szCs w:val="14"/>
        <w:lang w:val="es-MX"/>
      </w:rPr>
      <w:t xml:space="preserve">DE INVESTIGACIÓN, DESARROLLO E </w:t>
    </w:r>
    <w:r>
      <w:rPr>
        <w:sz w:val="14"/>
        <w:szCs w:val="14"/>
        <w:lang w:val="es-MX"/>
      </w:rPr>
      <w:t>INNOVACIÓN CLIDi 2016</w:t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>
      <w:rPr>
        <w:sz w:val="14"/>
        <w:lang w:val="es-MX"/>
      </w:rPr>
      <w:t xml:space="preserve">  </w:t>
    </w:r>
    <w:r w:rsidR="004C2497" w:rsidRPr="000B2C7C">
      <w:rPr>
        <w:sz w:val="14"/>
        <w:lang w:val="es-MX"/>
      </w:rPr>
      <w:tab/>
    </w:r>
    <w:r w:rsidR="004C2497" w:rsidRPr="000B2C7C">
      <w:rPr>
        <w:sz w:val="14"/>
        <w:lang w:val="es-MX"/>
      </w:rPr>
      <w:tab/>
    </w:r>
    <w:r w:rsidR="004C2497">
      <w:rPr>
        <w:sz w:val="14"/>
        <w:lang w:val="es-MX"/>
      </w:rPr>
      <w:t xml:space="preserve">         </w:t>
    </w:r>
    <w:r w:rsidR="0068795B" w:rsidRPr="000B2C7C">
      <w:rPr>
        <w:sz w:val="14"/>
      </w:rPr>
      <w:fldChar w:fldCharType="begin"/>
    </w:r>
    <w:r w:rsidR="004C2497" w:rsidRPr="000B2C7C">
      <w:rPr>
        <w:sz w:val="14"/>
        <w:lang w:val="es-MX"/>
      </w:rPr>
      <w:instrText xml:space="preserve"> </w:instrText>
    </w:r>
    <w:r w:rsidR="00D87D07">
      <w:rPr>
        <w:sz w:val="14"/>
        <w:lang w:val="es-MX"/>
      </w:rPr>
      <w:instrText>PAGE</w:instrText>
    </w:r>
    <w:r w:rsidR="004C2497" w:rsidRPr="000B2C7C">
      <w:rPr>
        <w:sz w:val="14"/>
        <w:lang w:val="es-MX"/>
      </w:rPr>
      <w:instrText xml:space="preserve">   \* MERGEFORMAT </w:instrText>
    </w:r>
    <w:r w:rsidR="0068795B" w:rsidRPr="000B2C7C">
      <w:rPr>
        <w:sz w:val="14"/>
      </w:rPr>
      <w:fldChar w:fldCharType="separate"/>
    </w:r>
    <w:r w:rsidR="009E4D21">
      <w:rPr>
        <w:noProof/>
        <w:sz w:val="14"/>
        <w:lang w:val="es-MX"/>
      </w:rPr>
      <w:t>5</w:t>
    </w:r>
    <w:r w:rsidR="0068795B" w:rsidRPr="000B2C7C">
      <w:rPr>
        <w:noProof/>
        <w:sz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FDD03" w14:textId="77777777" w:rsidR="004C2497" w:rsidRDefault="004C2497" w:rsidP="00074628">
    <w:pPr>
      <w:pStyle w:val="Encabezado"/>
      <w:rPr>
        <w:sz w:val="14"/>
        <w:lang w:val="es-MX"/>
      </w:rPr>
    </w:pPr>
  </w:p>
  <w:p w14:paraId="16AE946F" w14:textId="77777777" w:rsidR="004C2497" w:rsidRPr="00CE7344" w:rsidRDefault="004C2497" w:rsidP="00074628">
    <w:pPr>
      <w:pStyle w:val="Encabezado"/>
      <w:rPr>
        <w:sz w:val="14"/>
        <w:szCs w:val="14"/>
        <w:lang w:val="es-MX"/>
      </w:rPr>
    </w:pPr>
    <w:r>
      <w:rPr>
        <w:sz w:val="14"/>
        <w:szCs w:val="14"/>
        <w:lang w:val="es-MX"/>
      </w:rPr>
      <w:t>MEMORIAS DEL XVII</w:t>
    </w:r>
    <w:r w:rsidRPr="00CE7344">
      <w:rPr>
        <w:sz w:val="14"/>
        <w:szCs w:val="14"/>
        <w:lang w:val="es-MX"/>
      </w:rPr>
      <w:t xml:space="preserve"> CONCURSO </w:t>
    </w:r>
    <w:r>
      <w:rPr>
        <w:sz w:val="14"/>
        <w:szCs w:val="14"/>
        <w:lang w:val="es-MX"/>
      </w:rPr>
      <w:t xml:space="preserve">LASALLISTA </w:t>
    </w:r>
    <w:r w:rsidRPr="00CE7344">
      <w:rPr>
        <w:sz w:val="14"/>
        <w:szCs w:val="14"/>
        <w:lang w:val="es-MX"/>
      </w:rPr>
      <w:t xml:space="preserve">DE INVESTIGACIÓN, DESARROLLO E </w:t>
    </w:r>
    <w:r w:rsidR="006C43AE">
      <w:rPr>
        <w:sz w:val="14"/>
        <w:szCs w:val="14"/>
        <w:lang w:val="es-MX"/>
      </w:rPr>
      <w:t>INNOVACIÓN CLIDi 2016</w:t>
    </w:r>
    <w:r w:rsidRPr="00CE7344">
      <w:rPr>
        <w:sz w:val="14"/>
        <w:szCs w:val="14"/>
        <w:lang w:val="es-MX"/>
      </w:rPr>
      <w:tab/>
    </w:r>
    <w:r w:rsidRPr="00CE7344">
      <w:rPr>
        <w:sz w:val="14"/>
        <w:szCs w:val="14"/>
        <w:lang w:val="es-MX"/>
      </w:rPr>
      <w:tab/>
    </w:r>
    <w:r w:rsidRPr="00CE7344">
      <w:rPr>
        <w:sz w:val="14"/>
        <w:szCs w:val="14"/>
        <w:lang w:val="es-MX"/>
      </w:rPr>
      <w:tab/>
    </w:r>
    <w:r w:rsidRPr="00CE7344">
      <w:rPr>
        <w:sz w:val="14"/>
        <w:szCs w:val="14"/>
        <w:lang w:val="es-MX"/>
      </w:rPr>
      <w:tab/>
    </w:r>
    <w:r w:rsidRPr="00CE7344">
      <w:rPr>
        <w:sz w:val="14"/>
        <w:szCs w:val="14"/>
        <w:lang w:val="es-MX"/>
      </w:rPr>
      <w:tab/>
    </w:r>
    <w:r w:rsidRPr="00CE7344">
      <w:rPr>
        <w:sz w:val="14"/>
        <w:szCs w:val="14"/>
        <w:lang w:val="es-MX"/>
      </w:rPr>
      <w:tab/>
      <w:t xml:space="preserve">  </w:t>
    </w:r>
    <w:r w:rsidRPr="00CE7344">
      <w:rPr>
        <w:sz w:val="14"/>
        <w:szCs w:val="14"/>
        <w:lang w:val="es-MX"/>
      </w:rPr>
      <w:tab/>
    </w:r>
    <w:r w:rsidRPr="00CE7344">
      <w:rPr>
        <w:sz w:val="14"/>
        <w:szCs w:val="14"/>
        <w:lang w:val="es-MX"/>
      </w:rPr>
      <w:tab/>
      <w:t xml:space="preserve"> </w:t>
    </w:r>
    <w:r>
      <w:rPr>
        <w:sz w:val="14"/>
        <w:szCs w:val="14"/>
        <w:lang w:val="es-MX"/>
      </w:rPr>
      <w:t xml:space="preserve">        </w:t>
    </w:r>
    <w:r w:rsidRPr="00CE7344">
      <w:rPr>
        <w:sz w:val="14"/>
        <w:szCs w:val="14"/>
        <w:lang w:val="es-MX"/>
      </w:rPr>
      <w:t xml:space="preserve"> </w:t>
    </w:r>
    <w:r w:rsidR="0068795B" w:rsidRPr="00CE7344">
      <w:rPr>
        <w:sz w:val="14"/>
        <w:szCs w:val="14"/>
      </w:rPr>
      <w:fldChar w:fldCharType="begin"/>
    </w:r>
    <w:r w:rsidRPr="00CE7344">
      <w:rPr>
        <w:sz w:val="14"/>
        <w:szCs w:val="14"/>
        <w:lang w:val="es-MX"/>
      </w:rPr>
      <w:instrText xml:space="preserve"> </w:instrText>
    </w:r>
    <w:r w:rsidR="00D87D07">
      <w:rPr>
        <w:sz w:val="14"/>
        <w:szCs w:val="14"/>
        <w:lang w:val="es-MX"/>
      </w:rPr>
      <w:instrText>PAGE</w:instrText>
    </w:r>
    <w:r w:rsidRPr="00CE7344">
      <w:rPr>
        <w:sz w:val="14"/>
        <w:szCs w:val="14"/>
        <w:lang w:val="es-MX"/>
      </w:rPr>
      <w:instrText xml:space="preserve">   \* MERGEFORMAT </w:instrText>
    </w:r>
    <w:r w:rsidR="0068795B" w:rsidRPr="00CE7344">
      <w:rPr>
        <w:sz w:val="14"/>
        <w:szCs w:val="14"/>
      </w:rPr>
      <w:fldChar w:fldCharType="separate"/>
    </w:r>
    <w:r w:rsidR="006C43AE">
      <w:rPr>
        <w:noProof/>
        <w:sz w:val="14"/>
        <w:szCs w:val="14"/>
        <w:lang w:val="es-MX"/>
      </w:rPr>
      <w:t>1</w:t>
    </w:r>
    <w:r w:rsidR="0068795B" w:rsidRPr="00CE7344">
      <w:rPr>
        <w:noProof/>
        <w:sz w:val="14"/>
        <w:szCs w:val="14"/>
      </w:rPr>
      <w:fldChar w:fldCharType="end"/>
    </w:r>
  </w:p>
  <w:p w14:paraId="42811FB8" w14:textId="77777777" w:rsidR="004C2497" w:rsidRPr="00074628" w:rsidRDefault="004C2497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80C4F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2E085744"/>
    <w:lvl w:ilvl="0">
      <w:start w:val="1"/>
      <w:numFmt w:val="upperRoman"/>
      <w:pStyle w:val="Ttulo1"/>
      <w:lvlText w:val="%1."/>
      <w:legacy w:legacy="1" w:legacySpace="144" w:legacyIndent="144"/>
      <w:lvlJc w:val="left"/>
    </w:lvl>
    <w:lvl w:ilvl="1">
      <w:start w:val="1"/>
      <w:numFmt w:val="upperLetter"/>
      <w:pStyle w:val="Ttulo2"/>
      <w:lvlText w:val="%2."/>
      <w:legacy w:legacy="1" w:legacySpace="144" w:legacyIndent="144"/>
      <w:lvlJc w:val="left"/>
    </w:lvl>
    <w:lvl w:ilvl="2">
      <w:start w:val="1"/>
      <w:numFmt w:val="decimal"/>
      <w:pStyle w:val="Ttulo3"/>
      <w:lvlText w:val="%3)"/>
      <w:legacy w:legacy="1" w:legacySpace="144" w:legacyIndent="144"/>
      <w:lvlJc w:val="left"/>
    </w:lvl>
    <w:lvl w:ilvl="3">
      <w:start w:val="1"/>
      <w:numFmt w:val="lowerLetter"/>
      <w:pStyle w:val="Ttulo4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pStyle w:val="Ttulo5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pStyle w:val="Ttulo6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pStyle w:val="Ttulo7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pStyle w:val="Ttulo8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pStyle w:val="Ttulo9"/>
      <w:lvlText w:val="(%9)"/>
      <w:legacy w:legacy="1" w:legacySpace="0" w:legacyIndent="720"/>
      <w:lvlJc w:val="left"/>
      <w:pPr>
        <w:ind w:left="4752" w:hanging="720"/>
      </w:pPr>
    </w:lvl>
  </w:abstractNum>
  <w:abstractNum w:abstractNumId="2" w15:restartNumberingAfterBreak="0">
    <w:nsid w:val="0D5F1C12"/>
    <w:multiLevelType w:val="hybridMultilevel"/>
    <w:tmpl w:val="421C7AFE"/>
    <w:lvl w:ilvl="0" w:tplc="54D4BF74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82" w:hanging="360"/>
      </w:pPr>
    </w:lvl>
    <w:lvl w:ilvl="2" w:tplc="080A001B" w:tentative="1">
      <w:start w:val="1"/>
      <w:numFmt w:val="lowerRoman"/>
      <w:lvlText w:val="%3."/>
      <w:lvlJc w:val="right"/>
      <w:pPr>
        <w:ind w:left="2002" w:hanging="180"/>
      </w:pPr>
    </w:lvl>
    <w:lvl w:ilvl="3" w:tplc="080A000F" w:tentative="1">
      <w:start w:val="1"/>
      <w:numFmt w:val="decimal"/>
      <w:lvlText w:val="%4."/>
      <w:lvlJc w:val="left"/>
      <w:pPr>
        <w:ind w:left="2722" w:hanging="360"/>
      </w:pPr>
    </w:lvl>
    <w:lvl w:ilvl="4" w:tplc="080A0019" w:tentative="1">
      <w:start w:val="1"/>
      <w:numFmt w:val="lowerLetter"/>
      <w:lvlText w:val="%5."/>
      <w:lvlJc w:val="left"/>
      <w:pPr>
        <w:ind w:left="3442" w:hanging="360"/>
      </w:pPr>
    </w:lvl>
    <w:lvl w:ilvl="5" w:tplc="080A001B" w:tentative="1">
      <w:start w:val="1"/>
      <w:numFmt w:val="lowerRoman"/>
      <w:lvlText w:val="%6."/>
      <w:lvlJc w:val="right"/>
      <w:pPr>
        <w:ind w:left="4162" w:hanging="180"/>
      </w:pPr>
    </w:lvl>
    <w:lvl w:ilvl="6" w:tplc="080A000F" w:tentative="1">
      <w:start w:val="1"/>
      <w:numFmt w:val="decimal"/>
      <w:lvlText w:val="%7."/>
      <w:lvlJc w:val="left"/>
      <w:pPr>
        <w:ind w:left="4882" w:hanging="360"/>
      </w:pPr>
    </w:lvl>
    <w:lvl w:ilvl="7" w:tplc="080A0019" w:tentative="1">
      <w:start w:val="1"/>
      <w:numFmt w:val="lowerLetter"/>
      <w:lvlText w:val="%8."/>
      <w:lvlJc w:val="left"/>
      <w:pPr>
        <w:ind w:left="5602" w:hanging="360"/>
      </w:pPr>
    </w:lvl>
    <w:lvl w:ilvl="8" w:tplc="080A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3" w15:restartNumberingAfterBreak="0">
    <w:nsid w:val="19BE4F0E"/>
    <w:multiLevelType w:val="hybridMultilevel"/>
    <w:tmpl w:val="720EE4BA"/>
    <w:lvl w:ilvl="0" w:tplc="647A3C2A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F561A"/>
    <w:multiLevelType w:val="hybridMultilevel"/>
    <w:tmpl w:val="B1CC779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0B1D6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6" w15:restartNumberingAfterBreak="0">
    <w:nsid w:val="2517274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D234D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F8B23F8"/>
    <w:multiLevelType w:val="singleLevel"/>
    <w:tmpl w:val="12CEED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37E87D94"/>
    <w:multiLevelType w:val="hybridMultilevel"/>
    <w:tmpl w:val="51688BFE"/>
    <w:lvl w:ilvl="0" w:tplc="F8B4C360">
      <w:start w:val="1"/>
      <w:numFmt w:val="decimal"/>
      <w:lvlText w:val="[%1]"/>
      <w:lvlJc w:val="left"/>
      <w:pPr>
        <w:ind w:left="567" w:hanging="567"/>
      </w:pPr>
      <w:rPr>
        <w:rFonts w:hint="default"/>
        <w:b w:val="0"/>
      </w:rPr>
    </w:lvl>
    <w:lvl w:ilvl="1" w:tplc="92B0D56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AAC1CFC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7332F9F"/>
    <w:multiLevelType w:val="singleLevel"/>
    <w:tmpl w:val="488EC8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4BB17FC7"/>
    <w:multiLevelType w:val="hybridMultilevel"/>
    <w:tmpl w:val="7DE64E2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0B59CF"/>
    <w:multiLevelType w:val="singleLevel"/>
    <w:tmpl w:val="4A4223A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525262CD"/>
    <w:multiLevelType w:val="hybridMultilevel"/>
    <w:tmpl w:val="467ED30E"/>
    <w:lvl w:ilvl="0" w:tplc="501483DA">
      <w:start w:val="1"/>
      <w:numFmt w:val="decimal"/>
      <w:lvlText w:val="[%1]"/>
      <w:lvlJc w:val="left"/>
      <w:pPr>
        <w:ind w:left="51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38" w:hanging="360"/>
      </w:pPr>
    </w:lvl>
    <w:lvl w:ilvl="2" w:tplc="080A001B" w:tentative="1">
      <w:start w:val="1"/>
      <w:numFmt w:val="lowerRoman"/>
      <w:lvlText w:val="%3."/>
      <w:lvlJc w:val="right"/>
      <w:pPr>
        <w:ind w:left="1958" w:hanging="180"/>
      </w:pPr>
    </w:lvl>
    <w:lvl w:ilvl="3" w:tplc="080A000F" w:tentative="1">
      <w:start w:val="1"/>
      <w:numFmt w:val="decimal"/>
      <w:lvlText w:val="%4."/>
      <w:lvlJc w:val="left"/>
      <w:pPr>
        <w:ind w:left="2678" w:hanging="360"/>
      </w:pPr>
    </w:lvl>
    <w:lvl w:ilvl="4" w:tplc="080A0019" w:tentative="1">
      <w:start w:val="1"/>
      <w:numFmt w:val="lowerLetter"/>
      <w:lvlText w:val="%5."/>
      <w:lvlJc w:val="left"/>
      <w:pPr>
        <w:ind w:left="3398" w:hanging="360"/>
      </w:pPr>
    </w:lvl>
    <w:lvl w:ilvl="5" w:tplc="080A001B" w:tentative="1">
      <w:start w:val="1"/>
      <w:numFmt w:val="lowerRoman"/>
      <w:lvlText w:val="%6."/>
      <w:lvlJc w:val="right"/>
      <w:pPr>
        <w:ind w:left="4118" w:hanging="180"/>
      </w:pPr>
    </w:lvl>
    <w:lvl w:ilvl="6" w:tplc="080A000F" w:tentative="1">
      <w:start w:val="1"/>
      <w:numFmt w:val="decimal"/>
      <w:lvlText w:val="%7."/>
      <w:lvlJc w:val="left"/>
      <w:pPr>
        <w:ind w:left="4838" w:hanging="360"/>
      </w:pPr>
    </w:lvl>
    <w:lvl w:ilvl="7" w:tplc="080A0019" w:tentative="1">
      <w:start w:val="1"/>
      <w:numFmt w:val="lowerLetter"/>
      <w:lvlText w:val="%8."/>
      <w:lvlJc w:val="left"/>
      <w:pPr>
        <w:ind w:left="5558" w:hanging="360"/>
      </w:pPr>
    </w:lvl>
    <w:lvl w:ilvl="8" w:tplc="080A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16" w15:restartNumberingAfterBreak="0">
    <w:nsid w:val="5563073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17" w15:restartNumberingAfterBreak="0">
    <w:nsid w:val="6CAB3033"/>
    <w:multiLevelType w:val="hybridMultilevel"/>
    <w:tmpl w:val="8E2EEA5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7E315E9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num w:numId="1">
    <w:abstractNumId w:val="1"/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2"/>
  </w:num>
  <w:num w:numId="7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1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2">
    <w:abstractNumId w:val="10"/>
  </w:num>
  <w:num w:numId="13">
    <w:abstractNumId w:val="5"/>
  </w:num>
  <w:num w:numId="14">
    <w:abstractNumId w:val="16"/>
  </w:num>
  <w:num w:numId="15">
    <w:abstractNumId w:val="14"/>
  </w:num>
  <w:num w:numId="16">
    <w:abstractNumId w:val="19"/>
  </w:num>
  <w:num w:numId="17">
    <w:abstractNumId w:val="7"/>
  </w:num>
  <w:num w:numId="18">
    <w:abstractNumId w:val="6"/>
  </w:num>
  <w:num w:numId="19">
    <w:abstractNumId w:val="18"/>
  </w:num>
  <w:num w:numId="20">
    <w:abstractNumId w:val="11"/>
  </w:num>
  <w:num w:numId="21">
    <w:abstractNumId w:val="13"/>
  </w:num>
  <w:num w:numId="22">
    <w:abstractNumId w:val="4"/>
  </w:num>
  <w:num w:numId="23">
    <w:abstractNumId w:val="17"/>
  </w:num>
  <w:num w:numId="24">
    <w:abstractNumId w:val="2"/>
  </w:num>
  <w:num w:numId="25">
    <w:abstractNumId w:val="9"/>
  </w:num>
  <w:num w:numId="26">
    <w:abstractNumId w:val="0"/>
  </w:num>
  <w:num w:numId="27">
    <w:abstractNumId w:val="15"/>
  </w:num>
  <w:num w:numId="28">
    <w:abstractNumId w:val="3"/>
  </w:num>
  <w:num w:numId="29">
    <w:abstractNumId w:val="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2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2DB5"/>
    <w:rsid w:val="00001E1B"/>
    <w:rsid w:val="00011B3A"/>
    <w:rsid w:val="000129F1"/>
    <w:rsid w:val="0002027C"/>
    <w:rsid w:val="00021DB1"/>
    <w:rsid w:val="00027008"/>
    <w:rsid w:val="000301D0"/>
    <w:rsid w:val="00030A76"/>
    <w:rsid w:val="000337A5"/>
    <w:rsid w:val="00044721"/>
    <w:rsid w:val="00047F89"/>
    <w:rsid w:val="000545CD"/>
    <w:rsid w:val="00055C83"/>
    <w:rsid w:val="000735DF"/>
    <w:rsid w:val="00074628"/>
    <w:rsid w:val="00077C95"/>
    <w:rsid w:val="00077F15"/>
    <w:rsid w:val="000836CE"/>
    <w:rsid w:val="000842AC"/>
    <w:rsid w:val="00087DA0"/>
    <w:rsid w:val="00091DF7"/>
    <w:rsid w:val="00095F49"/>
    <w:rsid w:val="00097537"/>
    <w:rsid w:val="000A7147"/>
    <w:rsid w:val="000B114C"/>
    <w:rsid w:val="000B2C7C"/>
    <w:rsid w:val="000D0FDB"/>
    <w:rsid w:val="000D25A6"/>
    <w:rsid w:val="000D459A"/>
    <w:rsid w:val="000E3855"/>
    <w:rsid w:val="00100E65"/>
    <w:rsid w:val="0010761B"/>
    <w:rsid w:val="00121E06"/>
    <w:rsid w:val="0012496A"/>
    <w:rsid w:val="00130E50"/>
    <w:rsid w:val="001346A9"/>
    <w:rsid w:val="00143AC8"/>
    <w:rsid w:val="00156FCC"/>
    <w:rsid w:val="00160CB1"/>
    <w:rsid w:val="00174010"/>
    <w:rsid w:val="00175954"/>
    <w:rsid w:val="001762A2"/>
    <w:rsid w:val="00180A82"/>
    <w:rsid w:val="00186F52"/>
    <w:rsid w:val="00187908"/>
    <w:rsid w:val="00187FDA"/>
    <w:rsid w:val="0019707D"/>
    <w:rsid w:val="0019764B"/>
    <w:rsid w:val="001A0B1A"/>
    <w:rsid w:val="001A214E"/>
    <w:rsid w:val="001A5762"/>
    <w:rsid w:val="001B27A2"/>
    <w:rsid w:val="001B53EC"/>
    <w:rsid w:val="001B5DDF"/>
    <w:rsid w:val="001C1FF5"/>
    <w:rsid w:val="001C5130"/>
    <w:rsid w:val="001C61B9"/>
    <w:rsid w:val="001D23E6"/>
    <w:rsid w:val="001E0510"/>
    <w:rsid w:val="001E2A44"/>
    <w:rsid w:val="001E3937"/>
    <w:rsid w:val="001E794D"/>
    <w:rsid w:val="001F28E9"/>
    <w:rsid w:val="001F42A6"/>
    <w:rsid w:val="00200551"/>
    <w:rsid w:val="00202F4F"/>
    <w:rsid w:val="00204F0A"/>
    <w:rsid w:val="00210822"/>
    <w:rsid w:val="00211CEA"/>
    <w:rsid w:val="0021761B"/>
    <w:rsid w:val="002247C5"/>
    <w:rsid w:val="00225359"/>
    <w:rsid w:val="002358DB"/>
    <w:rsid w:val="00235CDE"/>
    <w:rsid w:val="00243261"/>
    <w:rsid w:val="002522F9"/>
    <w:rsid w:val="0025722A"/>
    <w:rsid w:val="0027231E"/>
    <w:rsid w:val="002728EC"/>
    <w:rsid w:val="00297836"/>
    <w:rsid w:val="002A080F"/>
    <w:rsid w:val="002A376B"/>
    <w:rsid w:val="002B1566"/>
    <w:rsid w:val="002B1D41"/>
    <w:rsid w:val="002B52B9"/>
    <w:rsid w:val="002C5C41"/>
    <w:rsid w:val="002C6FF6"/>
    <w:rsid w:val="002C7354"/>
    <w:rsid w:val="002D27FE"/>
    <w:rsid w:val="002D6335"/>
    <w:rsid w:val="002E2CAD"/>
    <w:rsid w:val="002F09CA"/>
    <w:rsid w:val="002F0EEA"/>
    <w:rsid w:val="002F1D2E"/>
    <w:rsid w:val="002F37B1"/>
    <w:rsid w:val="002F5566"/>
    <w:rsid w:val="00300E19"/>
    <w:rsid w:val="00303660"/>
    <w:rsid w:val="00306C00"/>
    <w:rsid w:val="00307386"/>
    <w:rsid w:val="00310A75"/>
    <w:rsid w:val="00310ACC"/>
    <w:rsid w:val="00312677"/>
    <w:rsid w:val="00313E7A"/>
    <w:rsid w:val="003163DE"/>
    <w:rsid w:val="0031746B"/>
    <w:rsid w:val="00327B05"/>
    <w:rsid w:val="00331399"/>
    <w:rsid w:val="0033448B"/>
    <w:rsid w:val="003524F7"/>
    <w:rsid w:val="00355AFE"/>
    <w:rsid w:val="003617E3"/>
    <w:rsid w:val="003624A9"/>
    <w:rsid w:val="003648CE"/>
    <w:rsid w:val="0036629E"/>
    <w:rsid w:val="00366DBE"/>
    <w:rsid w:val="00371D1D"/>
    <w:rsid w:val="00375A4B"/>
    <w:rsid w:val="00387AF6"/>
    <w:rsid w:val="00394663"/>
    <w:rsid w:val="003A7836"/>
    <w:rsid w:val="003B5B93"/>
    <w:rsid w:val="003B7CD7"/>
    <w:rsid w:val="003C5AD3"/>
    <w:rsid w:val="003C7817"/>
    <w:rsid w:val="003D4DBC"/>
    <w:rsid w:val="003D6604"/>
    <w:rsid w:val="003E1D0B"/>
    <w:rsid w:val="003E4FB1"/>
    <w:rsid w:val="003E75A4"/>
    <w:rsid w:val="003E76BC"/>
    <w:rsid w:val="003F0B11"/>
    <w:rsid w:val="003F1584"/>
    <w:rsid w:val="003F220B"/>
    <w:rsid w:val="0040233B"/>
    <w:rsid w:val="00403118"/>
    <w:rsid w:val="00410C7A"/>
    <w:rsid w:val="00413462"/>
    <w:rsid w:val="004143F2"/>
    <w:rsid w:val="00420B3E"/>
    <w:rsid w:val="00423C83"/>
    <w:rsid w:val="004306D8"/>
    <w:rsid w:val="004330C9"/>
    <w:rsid w:val="00446C8D"/>
    <w:rsid w:val="00450368"/>
    <w:rsid w:val="00452DB5"/>
    <w:rsid w:val="00454FCA"/>
    <w:rsid w:val="004563EE"/>
    <w:rsid w:val="00456F0F"/>
    <w:rsid w:val="00466FC7"/>
    <w:rsid w:val="004801B2"/>
    <w:rsid w:val="004934C3"/>
    <w:rsid w:val="0049739D"/>
    <w:rsid w:val="004A5357"/>
    <w:rsid w:val="004B222A"/>
    <w:rsid w:val="004B2915"/>
    <w:rsid w:val="004B2FE4"/>
    <w:rsid w:val="004B3E33"/>
    <w:rsid w:val="004B4429"/>
    <w:rsid w:val="004B5849"/>
    <w:rsid w:val="004C2497"/>
    <w:rsid w:val="004C4482"/>
    <w:rsid w:val="004C56B8"/>
    <w:rsid w:val="004C77F9"/>
    <w:rsid w:val="004E1814"/>
    <w:rsid w:val="004E349E"/>
    <w:rsid w:val="004E6E58"/>
    <w:rsid w:val="004F0710"/>
    <w:rsid w:val="004F13EE"/>
    <w:rsid w:val="004F18D4"/>
    <w:rsid w:val="004F2FBB"/>
    <w:rsid w:val="004F56A8"/>
    <w:rsid w:val="0050391A"/>
    <w:rsid w:val="00506081"/>
    <w:rsid w:val="00512EC4"/>
    <w:rsid w:val="0051396D"/>
    <w:rsid w:val="00516BD2"/>
    <w:rsid w:val="005209CA"/>
    <w:rsid w:val="00521A10"/>
    <w:rsid w:val="00527341"/>
    <w:rsid w:val="00530C20"/>
    <w:rsid w:val="00530FD1"/>
    <w:rsid w:val="0053586E"/>
    <w:rsid w:val="00536F14"/>
    <w:rsid w:val="0053768A"/>
    <w:rsid w:val="00541D2F"/>
    <w:rsid w:val="0054702F"/>
    <w:rsid w:val="00550D59"/>
    <w:rsid w:val="00555446"/>
    <w:rsid w:val="00555E20"/>
    <w:rsid w:val="00557C5E"/>
    <w:rsid w:val="00560BD7"/>
    <w:rsid w:val="00562DCE"/>
    <w:rsid w:val="00563B2F"/>
    <w:rsid w:val="00563FDE"/>
    <w:rsid w:val="0056420C"/>
    <w:rsid w:val="0056734B"/>
    <w:rsid w:val="00567A1C"/>
    <w:rsid w:val="00571780"/>
    <w:rsid w:val="0057520D"/>
    <w:rsid w:val="00580E7F"/>
    <w:rsid w:val="00584539"/>
    <w:rsid w:val="005845A0"/>
    <w:rsid w:val="00586CFF"/>
    <w:rsid w:val="00594AF2"/>
    <w:rsid w:val="00595108"/>
    <w:rsid w:val="00595970"/>
    <w:rsid w:val="00595B01"/>
    <w:rsid w:val="005A27DE"/>
    <w:rsid w:val="005A3F62"/>
    <w:rsid w:val="005A5267"/>
    <w:rsid w:val="005B3E2D"/>
    <w:rsid w:val="005B5700"/>
    <w:rsid w:val="005B6D97"/>
    <w:rsid w:val="005B7D6E"/>
    <w:rsid w:val="005C72A9"/>
    <w:rsid w:val="005C73D6"/>
    <w:rsid w:val="005D00FA"/>
    <w:rsid w:val="005E2E19"/>
    <w:rsid w:val="005F0C2E"/>
    <w:rsid w:val="005F74A9"/>
    <w:rsid w:val="006019C1"/>
    <w:rsid w:val="0061153F"/>
    <w:rsid w:val="00625214"/>
    <w:rsid w:val="00627210"/>
    <w:rsid w:val="00627F21"/>
    <w:rsid w:val="00630DCC"/>
    <w:rsid w:val="00630FDD"/>
    <w:rsid w:val="00635F46"/>
    <w:rsid w:val="00642D8C"/>
    <w:rsid w:val="00644C5B"/>
    <w:rsid w:val="00645D7D"/>
    <w:rsid w:val="00652ADD"/>
    <w:rsid w:val="00653119"/>
    <w:rsid w:val="00655118"/>
    <w:rsid w:val="00660A34"/>
    <w:rsid w:val="006647DF"/>
    <w:rsid w:val="00675B21"/>
    <w:rsid w:val="006863C6"/>
    <w:rsid w:val="006867E1"/>
    <w:rsid w:val="0068795B"/>
    <w:rsid w:val="00690281"/>
    <w:rsid w:val="00697BA9"/>
    <w:rsid w:val="006A7C4A"/>
    <w:rsid w:val="006B6733"/>
    <w:rsid w:val="006C1C60"/>
    <w:rsid w:val="006C43AE"/>
    <w:rsid w:val="006D019A"/>
    <w:rsid w:val="006E1791"/>
    <w:rsid w:val="006E21B3"/>
    <w:rsid w:val="006E31C2"/>
    <w:rsid w:val="006E371A"/>
    <w:rsid w:val="006E44E1"/>
    <w:rsid w:val="006E5257"/>
    <w:rsid w:val="006F258A"/>
    <w:rsid w:val="006F5C5C"/>
    <w:rsid w:val="0070708D"/>
    <w:rsid w:val="00720234"/>
    <w:rsid w:val="00720938"/>
    <w:rsid w:val="007219E4"/>
    <w:rsid w:val="00723A8E"/>
    <w:rsid w:val="007307FD"/>
    <w:rsid w:val="00731A3D"/>
    <w:rsid w:val="00736B33"/>
    <w:rsid w:val="0074369E"/>
    <w:rsid w:val="00745507"/>
    <w:rsid w:val="00745EBF"/>
    <w:rsid w:val="007466A6"/>
    <w:rsid w:val="00750F10"/>
    <w:rsid w:val="00753BFC"/>
    <w:rsid w:val="00757513"/>
    <w:rsid w:val="007636F0"/>
    <w:rsid w:val="00763846"/>
    <w:rsid w:val="00766B71"/>
    <w:rsid w:val="00773FF6"/>
    <w:rsid w:val="007A5CEA"/>
    <w:rsid w:val="007A7FC5"/>
    <w:rsid w:val="007B22B0"/>
    <w:rsid w:val="007B2FC3"/>
    <w:rsid w:val="007C3B61"/>
    <w:rsid w:val="007C7EE8"/>
    <w:rsid w:val="007D25A6"/>
    <w:rsid w:val="007E2018"/>
    <w:rsid w:val="007E2466"/>
    <w:rsid w:val="007E3E1C"/>
    <w:rsid w:val="007F11E5"/>
    <w:rsid w:val="007F2C09"/>
    <w:rsid w:val="007F3262"/>
    <w:rsid w:val="007F72CF"/>
    <w:rsid w:val="007F78CF"/>
    <w:rsid w:val="00802EEE"/>
    <w:rsid w:val="008139CF"/>
    <w:rsid w:val="00814BDB"/>
    <w:rsid w:val="008153E0"/>
    <w:rsid w:val="00816080"/>
    <w:rsid w:val="00816EA4"/>
    <w:rsid w:val="00816FCC"/>
    <w:rsid w:val="00823908"/>
    <w:rsid w:val="00833974"/>
    <w:rsid w:val="00833E8A"/>
    <w:rsid w:val="00834D66"/>
    <w:rsid w:val="0084642C"/>
    <w:rsid w:val="0085143A"/>
    <w:rsid w:val="008554EB"/>
    <w:rsid w:val="0085797B"/>
    <w:rsid w:val="00860A81"/>
    <w:rsid w:val="008677A0"/>
    <w:rsid w:val="00874C1E"/>
    <w:rsid w:val="00875727"/>
    <w:rsid w:val="008759B4"/>
    <w:rsid w:val="00875D78"/>
    <w:rsid w:val="00876119"/>
    <w:rsid w:val="0087704B"/>
    <w:rsid w:val="00883043"/>
    <w:rsid w:val="00886C5B"/>
    <w:rsid w:val="0089100F"/>
    <w:rsid w:val="00891413"/>
    <w:rsid w:val="00893C72"/>
    <w:rsid w:val="008A1240"/>
    <w:rsid w:val="008A1BEA"/>
    <w:rsid w:val="008A6A28"/>
    <w:rsid w:val="008A7531"/>
    <w:rsid w:val="008B0A25"/>
    <w:rsid w:val="008C1D18"/>
    <w:rsid w:val="008C1F02"/>
    <w:rsid w:val="008C39EB"/>
    <w:rsid w:val="008D0D05"/>
    <w:rsid w:val="008D485F"/>
    <w:rsid w:val="008D4C06"/>
    <w:rsid w:val="008D4D72"/>
    <w:rsid w:val="008D540B"/>
    <w:rsid w:val="008E77A1"/>
    <w:rsid w:val="008F7F3A"/>
    <w:rsid w:val="009042CD"/>
    <w:rsid w:val="0090653B"/>
    <w:rsid w:val="00911171"/>
    <w:rsid w:val="00911D36"/>
    <w:rsid w:val="00915F34"/>
    <w:rsid w:val="0092342F"/>
    <w:rsid w:val="00923FBF"/>
    <w:rsid w:val="00936138"/>
    <w:rsid w:val="00936E6C"/>
    <w:rsid w:val="00937ACA"/>
    <w:rsid w:val="00937B6B"/>
    <w:rsid w:val="009457C9"/>
    <w:rsid w:val="0095074C"/>
    <w:rsid w:val="0095239E"/>
    <w:rsid w:val="0095696F"/>
    <w:rsid w:val="00956BBC"/>
    <w:rsid w:val="00960AB6"/>
    <w:rsid w:val="00962697"/>
    <w:rsid w:val="00963030"/>
    <w:rsid w:val="00972527"/>
    <w:rsid w:val="00972ACD"/>
    <w:rsid w:val="00972AF7"/>
    <w:rsid w:val="00974B51"/>
    <w:rsid w:val="009762EF"/>
    <w:rsid w:val="00982C1F"/>
    <w:rsid w:val="00987072"/>
    <w:rsid w:val="0099593B"/>
    <w:rsid w:val="009B1F0B"/>
    <w:rsid w:val="009B22D2"/>
    <w:rsid w:val="009B24BC"/>
    <w:rsid w:val="009B2E91"/>
    <w:rsid w:val="009B31CA"/>
    <w:rsid w:val="009B3EA9"/>
    <w:rsid w:val="009D360F"/>
    <w:rsid w:val="009D451F"/>
    <w:rsid w:val="009E48AB"/>
    <w:rsid w:val="009E4D21"/>
    <w:rsid w:val="009E5694"/>
    <w:rsid w:val="009E6956"/>
    <w:rsid w:val="00A034E7"/>
    <w:rsid w:val="00A06460"/>
    <w:rsid w:val="00A17024"/>
    <w:rsid w:val="00A17170"/>
    <w:rsid w:val="00A20255"/>
    <w:rsid w:val="00A20A51"/>
    <w:rsid w:val="00A216E0"/>
    <w:rsid w:val="00A25DE1"/>
    <w:rsid w:val="00A33CD1"/>
    <w:rsid w:val="00A34EC1"/>
    <w:rsid w:val="00A437E6"/>
    <w:rsid w:val="00A43EBA"/>
    <w:rsid w:val="00A43F9B"/>
    <w:rsid w:val="00A45B49"/>
    <w:rsid w:val="00A548D4"/>
    <w:rsid w:val="00A60883"/>
    <w:rsid w:val="00A60E5B"/>
    <w:rsid w:val="00A61F0E"/>
    <w:rsid w:val="00A65033"/>
    <w:rsid w:val="00A712B7"/>
    <w:rsid w:val="00A71839"/>
    <w:rsid w:val="00A71B1F"/>
    <w:rsid w:val="00A77F76"/>
    <w:rsid w:val="00AB53E3"/>
    <w:rsid w:val="00AB560B"/>
    <w:rsid w:val="00AB67F6"/>
    <w:rsid w:val="00AC19FB"/>
    <w:rsid w:val="00AD0A7A"/>
    <w:rsid w:val="00AD0DC3"/>
    <w:rsid w:val="00AE14B3"/>
    <w:rsid w:val="00AE61DE"/>
    <w:rsid w:val="00AF0212"/>
    <w:rsid w:val="00AF0F84"/>
    <w:rsid w:val="00B07566"/>
    <w:rsid w:val="00B14134"/>
    <w:rsid w:val="00B22102"/>
    <w:rsid w:val="00B23300"/>
    <w:rsid w:val="00B26499"/>
    <w:rsid w:val="00B301C2"/>
    <w:rsid w:val="00B30B80"/>
    <w:rsid w:val="00B313AE"/>
    <w:rsid w:val="00B33484"/>
    <w:rsid w:val="00B47741"/>
    <w:rsid w:val="00B47F72"/>
    <w:rsid w:val="00B5728F"/>
    <w:rsid w:val="00B62534"/>
    <w:rsid w:val="00B653E9"/>
    <w:rsid w:val="00B65B43"/>
    <w:rsid w:val="00B732D5"/>
    <w:rsid w:val="00B74566"/>
    <w:rsid w:val="00B808EE"/>
    <w:rsid w:val="00B8377C"/>
    <w:rsid w:val="00B9046A"/>
    <w:rsid w:val="00B91301"/>
    <w:rsid w:val="00B9457D"/>
    <w:rsid w:val="00BA0997"/>
    <w:rsid w:val="00BA4EB6"/>
    <w:rsid w:val="00BA6CD0"/>
    <w:rsid w:val="00BB367C"/>
    <w:rsid w:val="00BB474F"/>
    <w:rsid w:val="00BC11B4"/>
    <w:rsid w:val="00BC276A"/>
    <w:rsid w:val="00BC2D2B"/>
    <w:rsid w:val="00BC3387"/>
    <w:rsid w:val="00BC64F2"/>
    <w:rsid w:val="00BD33ED"/>
    <w:rsid w:val="00BD4B0F"/>
    <w:rsid w:val="00BE17CC"/>
    <w:rsid w:val="00BE44E7"/>
    <w:rsid w:val="00BE6CB0"/>
    <w:rsid w:val="00BF32AB"/>
    <w:rsid w:val="00BF4446"/>
    <w:rsid w:val="00BF45D2"/>
    <w:rsid w:val="00BF6671"/>
    <w:rsid w:val="00BF71D3"/>
    <w:rsid w:val="00C036CA"/>
    <w:rsid w:val="00C03918"/>
    <w:rsid w:val="00C06E47"/>
    <w:rsid w:val="00C159E1"/>
    <w:rsid w:val="00C163B6"/>
    <w:rsid w:val="00C20C9D"/>
    <w:rsid w:val="00C231C4"/>
    <w:rsid w:val="00C3096C"/>
    <w:rsid w:val="00C35B45"/>
    <w:rsid w:val="00C569B4"/>
    <w:rsid w:val="00C6380B"/>
    <w:rsid w:val="00C74FF3"/>
    <w:rsid w:val="00C75742"/>
    <w:rsid w:val="00C777CC"/>
    <w:rsid w:val="00C8090E"/>
    <w:rsid w:val="00C82FAE"/>
    <w:rsid w:val="00C833E0"/>
    <w:rsid w:val="00C84159"/>
    <w:rsid w:val="00C84A2B"/>
    <w:rsid w:val="00C96EE1"/>
    <w:rsid w:val="00CA41B3"/>
    <w:rsid w:val="00CB34E9"/>
    <w:rsid w:val="00CB46B4"/>
    <w:rsid w:val="00CB5D06"/>
    <w:rsid w:val="00CC5528"/>
    <w:rsid w:val="00CC5630"/>
    <w:rsid w:val="00CC794B"/>
    <w:rsid w:val="00CD2BE2"/>
    <w:rsid w:val="00CD71F6"/>
    <w:rsid w:val="00CD7783"/>
    <w:rsid w:val="00CE581B"/>
    <w:rsid w:val="00CE7344"/>
    <w:rsid w:val="00CF1A53"/>
    <w:rsid w:val="00CF7864"/>
    <w:rsid w:val="00D00037"/>
    <w:rsid w:val="00D003E0"/>
    <w:rsid w:val="00D074FC"/>
    <w:rsid w:val="00D07AC4"/>
    <w:rsid w:val="00D160BA"/>
    <w:rsid w:val="00D22153"/>
    <w:rsid w:val="00D235C6"/>
    <w:rsid w:val="00D24B1F"/>
    <w:rsid w:val="00D2671B"/>
    <w:rsid w:val="00D274B1"/>
    <w:rsid w:val="00D504D5"/>
    <w:rsid w:val="00D54B74"/>
    <w:rsid w:val="00D573A0"/>
    <w:rsid w:val="00D749D9"/>
    <w:rsid w:val="00D776D3"/>
    <w:rsid w:val="00D778E3"/>
    <w:rsid w:val="00D77F42"/>
    <w:rsid w:val="00D830F6"/>
    <w:rsid w:val="00D848C7"/>
    <w:rsid w:val="00D85194"/>
    <w:rsid w:val="00D87D07"/>
    <w:rsid w:val="00D91126"/>
    <w:rsid w:val="00D9784F"/>
    <w:rsid w:val="00DA401D"/>
    <w:rsid w:val="00DB0984"/>
    <w:rsid w:val="00DB136C"/>
    <w:rsid w:val="00DC44D6"/>
    <w:rsid w:val="00DE1331"/>
    <w:rsid w:val="00DE3E43"/>
    <w:rsid w:val="00DE425E"/>
    <w:rsid w:val="00DE43AC"/>
    <w:rsid w:val="00DE79D9"/>
    <w:rsid w:val="00DF221A"/>
    <w:rsid w:val="00DF5729"/>
    <w:rsid w:val="00DF580E"/>
    <w:rsid w:val="00E06677"/>
    <w:rsid w:val="00E072CE"/>
    <w:rsid w:val="00E165CD"/>
    <w:rsid w:val="00E20BF0"/>
    <w:rsid w:val="00E2179B"/>
    <w:rsid w:val="00E25387"/>
    <w:rsid w:val="00E25EF9"/>
    <w:rsid w:val="00E27624"/>
    <w:rsid w:val="00E27BBC"/>
    <w:rsid w:val="00E33822"/>
    <w:rsid w:val="00E61D53"/>
    <w:rsid w:val="00E6539E"/>
    <w:rsid w:val="00E67F08"/>
    <w:rsid w:val="00E71BC0"/>
    <w:rsid w:val="00E87720"/>
    <w:rsid w:val="00E95153"/>
    <w:rsid w:val="00E968FD"/>
    <w:rsid w:val="00EA0EE2"/>
    <w:rsid w:val="00EA2FE5"/>
    <w:rsid w:val="00EA3995"/>
    <w:rsid w:val="00EA4C21"/>
    <w:rsid w:val="00EA577E"/>
    <w:rsid w:val="00EA70B7"/>
    <w:rsid w:val="00EB1F13"/>
    <w:rsid w:val="00EB22F5"/>
    <w:rsid w:val="00EB760D"/>
    <w:rsid w:val="00EB7DB9"/>
    <w:rsid w:val="00EC0F61"/>
    <w:rsid w:val="00EC2E4B"/>
    <w:rsid w:val="00EC3B70"/>
    <w:rsid w:val="00ED3B62"/>
    <w:rsid w:val="00ED54B7"/>
    <w:rsid w:val="00ED7148"/>
    <w:rsid w:val="00ED77C8"/>
    <w:rsid w:val="00EE07FC"/>
    <w:rsid w:val="00EE47F5"/>
    <w:rsid w:val="00EE6577"/>
    <w:rsid w:val="00EE6C16"/>
    <w:rsid w:val="00EF1183"/>
    <w:rsid w:val="00EF2107"/>
    <w:rsid w:val="00EF74FB"/>
    <w:rsid w:val="00F0576A"/>
    <w:rsid w:val="00F10008"/>
    <w:rsid w:val="00F10658"/>
    <w:rsid w:val="00F121BA"/>
    <w:rsid w:val="00F129B9"/>
    <w:rsid w:val="00F15EE9"/>
    <w:rsid w:val="00F2048F"/>
    <w:rsid w:val="00F20745"/>
    <w:rsid w:val="00F22D20"/>
    <w:rsid w:val="00F24E55"/>
    <w:rsid w:val="00F254B0"/>
    <w:rsid w:val="00F312A6"/>
    <w:rsid w:val="00F313EE"/>
    <w:rsid w:val="00F367BB"/>
    <w:rsid w:val="00F37391"/>
    <w:rsid w:val="00F45210"/>
    <w:rsid w:val="00F453BF"/>
    <w:rsid w:val="00F47CC4"/>
    <w:rsid w:val="00F509FD"/>
    <w:rsid w:val="00F53107"/>
    <w:rsid w:val="00F540A6"/>
    <w:rsid w:val="00F56C2B"/>
    <w:rsid w:val="00F620F0"/>
    <w:rsid w:val="00F67949"/>
    <w:rsid w:val="00F67C76"/>
    <w:rsid w:val="00F71188"/>
    <w:rsid w:val="00F7515F"/>
    <w:rsid w:val="00F769BE"/>
    <w:rsid w:val="00F77996"/>
    <w:rsid w:val="00F84A62"/>
    <w:rsid w:val="00F86EEF"/>
    <w:rsid w:val="00FA0011"/>
    <w:rsid w:val="00FB79E2"/>
    <w:rsid w:val="00FC2D4B"/>
    <w:rsid w:val="00FC3986"/>
    <w:rsid w:val="00FD155A"/>
    <w:rsid w:val="00FD405A"/>
    <w:rsid w:val="00FD7228"/>
    <w:rsid w:val="00FD7399"/>
    <w:rsid w:val="00FE0037"/>
    <w:rsid w:val="00FE0966"/>
    <w:rsid w:val="00FE1C3F"/>
    <w:rsid w:val="00FE5987"/>
    <w:rsid w:val="00FF34A5"/>
    <w:rsid w:val="00FF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Conector recto de flecha 1"/>
        <o:r id="V:Rule2" type="connector" idref="#Conector recto de flecha 1"/>
        <o:r id="V:Rule3" type="connector" idref="#Conector recto de flecha 1"/>
        <o:r id="V:Rule4" type="connector" idref="#AutoShape 84"/>
        <o:r id="V:Rule5" type="connector" idref="#Conector recto de flecha 1"/>
      </o:rules>
    </o:shapelayout>
  </w:shapeDefaults>
  <w:decimalSymbol w:val="."/>
  <w:listSeparator w:val=","/>
  <w14:docId w14:val="7D88C495"/>
  <w15:docId w15:val="{2C1D1D3B-65BC-4D95-8B14-983D18A1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7F11E5"/>
    <w:pPr>
      <w:autoSpaceDE w:val="0"/>
      <w:autoSpaceDN w:val="0"/>
    </w:pPr>
    <w:rPr>
      <w:lang w:val="en-US" w:eastAsia="en-US"/>
    </w:rPr>
  </w:style>
  <w:style w:type="paragraph" w:styleId="Ttulo1">
    <w:name w:val="heading 1"/>
    <w:basedOn w:val="Normal"/>
    <w:next w:val="Normal"/>
    <w:qFormat/>
    <w:rsid w:val="0068795B"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Ttulo2">
    <w:name w:val="heading 2"/>
    <w:basedOn w:val="Normal"/>
    <w:next w:val="Normal"/>
    <w:qFormat/>
    <w:rsid w:val="0068795B"/>
    <w:pPr>
      <w:keepNext/>
      <w:numPr>
        <w:ilvl w:val="1"/>
        <w:numId w:val="1"/>
      </w:numPr>
      <w:spacing w:before="120" w:after="60"/>
      <w:ind w:left="144"/>
      <w:outlineLvl w:val="1"/>
    </w:pPr>
    <w:rPr>
      <w:i/>
      <w:iCs/>
    </w:rPr>
  </w:style>
  <w:style w:type="paragraph" w:styleId="Ttulo3">
    <w:name w:val="heading 3"/>
    <w:basedOn w:val="Normal"/>
    <w:next w:val="Normal"/>
    <w:qFormat/>
    <w:rsid w:val="0068795B"/>
    <w:pPr>
      <w:keepNext/>
      <w:numPr>
        <w:ilvl w:val="2"/>
        <w:numId w:val="1"/>
      </w:numPr>
      <w:ind w:left="288"/>
      <w:outlineLvl w:val="2"/>
    </w:pPr>
    <w:rPr>
      <w:i/>
      <w:iCs/>
    </w:rPr>
  </w:style>
  <w:style w:type="paragraph" w:styleId="Ttulo4">
    <w:name w:val="heading 4"/>
    <w:basedOn w:val="Normal"/>
    <w:next w:val="Normal"/>
    <w:qFormat/>
    <w:rsid w:val="0068795B"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Ttulo5">
    <w:name w:val="heading 5"/>
    <w:basedOn w:val="Normal"/>
    <w:next w:val="Normal"/>
    <w:qFormat/>
    <w:rsid w:val="0068795B"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Ttulo6">
    <w:name w:val="heading 6"/>
    <w:basedOn w:val="Normal"/>
    <w:next w:val="Normal"/>
    <w:qFormat/>
    <w:rsid w:val="0068795B"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Ttulo7">
    <w:name w:val="heading 7"/>
    <w:basedOn w:val="Normal"/>
    <w:next w:val="Normal"/>
    <w:qFormat/>
    <w:rsid w:val="0068795B"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Ttulo8">
    <w:name w:val="heading 8"/>
    <w:basedOn w:val="Normal"/>
    <w:next w:val="Normal"/>
    <w:qFormat/>
    <w:rsid w:val="0068795B"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Ttulo9">
    <w:name w:val="heading 9"/>
    <w:basedOn w:val="Normal"/>
    <w:next w:val="Normal"/>
    <w:qFormat/>
    <w:rsid w:val="0068795B"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rsid w:val="0068795B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rsid w:val="0068795B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rsid w:val="0068795B"/>
    <w:rPr>
      <w:rFonts w:ascii="Times New Roman" w:hAnsi="Times New Roman" w:cs="Times New Roman"/>
      <w:i/>
      <w:iCs/>
      <w:sz w:val="22"/>
      <w:szCs w:val="22"/>
    </w:rPr>
  </w:style>
  <w:style w:type="paragraph" w:styleId="Ttulo">
    <w:name w:val="Title"/>
    <w:basedOn w:val="Normal"/>
    <w:next w:val="Normal"/>
    <w:qFormat/>
    <w:rsid w:val="0068795B"/>
    <w:pPr>
      <w:framePr w:w="9360" w:hSpace="187" w:vSpace="187" w:wrap="notBeside" w:vAnchor="text" w:hAnchor="page" w:xAlign="center" w:y="1" w:anchorLock="1"/>
      <w:spacing w:before="360"/>
      <w:jc w:val="center"/>
    </w:pPr>
    <w:rPr>
      <w:b/>
      <w:kern w:val="28"/>
      <w:sz w:val="32"/>
      <w:szCs w:val="48"/>
    </w:rPr>
  </w:style>
  <w:style w:type="paragraph" w:styleId="Textonotapie">
    <w:name w:val="footnote text"/>
    <w:basedOn w:val="Normal"/>
    <w:link w:val="TextonotapieCar"/>
    <w:semiHidden/>
    <w:rsid w:val="0068795B"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rsid w:val="0068795B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rsid w:val="0068795B"/>
    <w:pPr>
      <w:ind w:firstLine="202"/>
      <w:jc w:val="both"/>
    </w:pPr>
    <w:rPr>
      <w:b/>
      <w:bCs/>
      <w:sz w:val="18"/>
      <w:szCs w:val="18"/>
    </w:rPr>
  </w:style>
  <w:style w:type="character" w:styleId="Refdenotaalpie">
    <w:name w:val="footnote reference"/>
    <w:semiHidden/>
    <w:rsid w:val="0068795B"/>
    <w:rPr>
      <w:vertAlign w:val="superscript"/>
    </w:rPr>
  </w:style>
  <w:style w:type="paragraph" w:styleId="Piedepgina">
    <w:name w:val="footer"/>
    <w:basedOn w:val="Normal"/>
    <w:link w:val="PiedepginaCar"/>
    <w:uiPriority w:val="99"/>
    <w:rsid w:val="0068795B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rsid w:val="0068795B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rsid w:val="0068795B"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rsid w:val="0068795B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Ttulo1"/>
    <w:rsid w:val="0068795B"/>
    <w:pPr>
      <w:numPr>
        <w:numId w:val="0"/>
      </w:numPr>
    </w:pPr>
  </w:style>
  <w:style w:type="paragraph" w:styleId="Encabezado">
    <w:name w:val="header"/>
    <w:basedOn w:val="Normal"/>
    <w:link w:val="EncabezadoCar"/>
    <w:uiPriority w:val="99"/>
    <w:rsid w:val="0068795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rsid w:val="0068795B"/>
    <w:pPr>
      <w:widowControl w:val="0"/>
      <w:tabs>
        <w:tab w:val="right" w:pos="4810"/>
      </w:tabs>
      <w:spacing w:line="252" w:lineRule="auto"/>
      <w:jc w:val="both"/>
    </w:pPr>
  </w:style>
  <w:style w:type="character" w:styleId="Hipervnculo">
    <w:name w:val="Hyperlink"/>
    <w:rsid w:val="0068795B"/>
    <w:rPr>
      <w:color w:val="0000FF"/>
      <w:u w:val="single"/>
    </w:rPr>
  </w:style>
  <w:style w:type="character" w:styleId="Hipervnculovisitado">
    <w:name w:val="FollowedHyperlink"/>
    <w:rsid w:val="0068795B"/>
    <w:rPr>
      <w:color w:val="800080"/>
      <w:u w:val="single"/>
    </w:rPr>
  </w:style>
  <w:style w:type="paragraph" w:styleId="Sangradetextonormal">
    <w:name w:val="Body Text Indent"/>
    <w:basedOn w:val="Normal"/>
    <w:rsid w:val="0068795B"/>
    <w:pPr>
      <w:ind w:left="630" w:hanging="630"/>
    </w:pPr>
    <w:rPr>
      <w:szCs w:val="24"/>
    </w:rPr>
  </w:style>
  <w:style w:type="paragraph" w:customStyle="1" w:styleId="DefaultParagraphFont1">
    <w:name w:val="Default Paragraph Font1"/>
    <w:next w:val="Normal"/>
    <w:rsid w:val="0068795B"/>
    <w:pPr>
      <w:overflowPunct w:val="0"/>
      <w:autoSpaceDE w:val="0"/>
      <w:autoSpaceDN w:val="0"/>
      <w:adjustRightInd w:val="0"/>
      <w:textAlignment w:val="baseline"/>
    </w:pPr>
    <w:rPr>
      <w:rFonts w:ascii="Times" w:eastAsia="PMingLiU" w:hAnsi="Times"/>
      <w:lang w:val="en-US" w:eastAsia="zh-TW"/>
    </w:rPr>
  </w:style>
  <w:style w:type="paragraph" w:customStyle="1" w:styleId="abs-title">
    <w:name w:val="abs-title"/>
    <w:basedOn w:val="DefaultParagraphFont1"/>
    <w:rsid w:val="0068795B"/>
    <w:pPr>
      <w:ind w:firstLine="14"/>
      <w:jc w:val="both"/>
    </w:pPr>
    <w:rPr>
      <w:b/>
      <w:bCs/>
      <w:i/>
      <w:iCs/>
      <w:sz w:val="18"/>
    </w:rPr>
  </w:style>
  <w:style w:type="paragraph" w:customStyle="1" w:styleId="body-text">
    <w:name w:val="body-text"/>
    <w:rsid w:val="0068795B"/>
    <w:pPr>
      <w:ind w:firstLine="230"/>
      <w:jc w:val="both"/>
    </w:pPr>
    <w:rPr>
      <w:rFonts w:ascii="Times" w:hAnsi="Times"/>
      <w:color w:val="000000"/>
      <w:lang w:val="en-US" w:eastAsia="en-US"/>
    </w:rPr>
  </w:style>
  <w:style w:type="paragraph" w:customStyle="1" w:styleId="table-figure-caption">
    <w:name w:val="table-figure-caption"/>
    <w:basedOn w:val="body-text"/>
    <w:rsid w:val="0068795B"/>
    <w:pPr>
      <w:spacing w:before="60" w:after="120"/>
      <w:ind w:firstLine="0"/>
      <w:jc w:val="center"/>
    </w:pPr>
    <w:rPr>
      <w:sz w:val="18"/>
    </w:rPr>
  </w:style>
  <w:style w:type="paragraph" w:customStyle="1" w:styleId="footnote">
    <w:name w:val="footnote"/>
    <w:basedOn w:val="Textonotapie"/>
    <w:rsid w:val="0068795B"/>
    <w:pPr>
      <w:overflowPunct w:val="0"/>
      <w:adjustRightInd w:val="0"/>
      <w:ind w:firstLine="346"/>
      <w:jc w:val="left"/>
      <w:textAlignment w:val="baseline"/>
    </w:pPr>
    <w:rPr>
      <w:rFonts w:ascii="Times" w:eastAsia="PMingLiU" w:hAnsi="Times"/>
      <w:szCs w:val="20"/>
      <w:lang w:val="en-AU" w:eastAsia="zh-TW"/>
    </w:rPr>
  </w:style>
  <w:style w:type="paragraph" w:customStyle="1" w:styleId="subsection-title">
    <w:name w:val="subsection-title"/>
    <w:basedOn w:val="Ttulo2"/>
    <w:rsid w:val="0068795B"/>
    <w:pPr>
      <w:numPr>
        <w:ilvl w:val="0"/>
        <w:numId w:val="0"/>
      </w:numPr>
      <w:overflowPunct w:val="0"/>
      <w:adjustRightInd w:val="0"/>
      <w:spacing w:before="60"/>
      <w:ind w:firstLine="43"/>
      <w:textAlignment w:val="baseline"/>
    </w:pPr>
    <w:rPr>
      <w:rFonts w:ascii="Times" w:eastAsia="PMingLiU" w:hAnsi="Times"/>
      <w:b/>
      <w:bCs/>
      <w:szCs w:val="24"/>
      <w:lang w:eastAsia="zh-TW"/>
    </w:rPr>
  </w:style>
  <w:style w:type="character" w:customStyle="1" w:styleId="txt">
    <w:name w:val="txt"/>
    <w:basedOn w:val="Fuentedeprrafopredeter"/>
    <w:rsid w:val="005E2E19"/>
  </w:style>
  <w:style w:type="paragraph" w:customStyle="1" w:styleId="equation0">
    <w:name w:val="equation"/>
    <w:basedOn w:val="Normal"/>
    <w:next w:val="Normal"/>
    <w:rsid w:val="005E2E19"/>
    <w:pPr>
      <w:tabs>
        <w:tab w:val="left" w:pos="6237"/>
      </w:tabs>
      <w:overflowPunct w:val="0"/>
      <w:adjustRightInd w:val="0"/>
      <w:spacing w:before="120" w:after="120"/>
      <w:ind w:left="227" w:firstLine="227"/>
      <w:jc w:val="center"/>
      <w:textAlignment w:val="baseline"/>
    </w:pPr>
    <w:rPr>
      <w:rFonts w:ascii="Times" w:hAnsi="Times"/>
    </w:rPr>
  </w:style>
  <w:style w:type="character" w:customStyle="1" w:styleId="TextonotapieCar">
    <w:name w:val="Texto nota pie Car"/>
    <w:link w:val="Textonotapie"/>
    <w:semiHidden/>
    <w:rsid w:val="002247C5"/>
    <w:rPr>
      <w:sz w:val="16"/>
      <w:szCs w:val="16"/>
      <w:lang w:val="en-US" w:eastAsia="en-US"/>
    </w:rPr>
  </w:style>
  <w:style w:type="paragraph" w:styleId="Textodeglobo">
    <w:name w:val="Balloon Text"/>
    <w:basedOn w:val="Normal"/>
    <w:link w:val="TextodegloboCar"/>
    <w:rsid w:val="00A17170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17170"/>
    <w:rPr>
      <w:rFonts w:ascii="Tahoma" w:hAnsi="Tahoma" w:cs="Tahoma"/>
      <w:sz w:val="16"/>
      <w:szCs w:val="16"/>
      <w:lang w:val="en-US" w:eastAsia="en-US"/>
    </w:rPr>
  </w:style>
  <w:style w:type="character" w:customStyle="1" w:styleId="PiedepginaCar">
    <w:name w:val="Pie de página Car"/>
    <w:link w:val="Piedepgina"/>
    <w:uiPriority w:val="99"/>
    <w:rsid w:val="00A17170"/>
    <w:rPr>
      <w:lang w:val="en-US" w:eastAsia="en-US"/>
    </w:rPr>
  </w:style>
  <w:style w:type="character" w:customStyle="1" w:styleId="EncabezadoCar">
    <w:name w:val="Encabezado Car"/>
    <w:link w:val="Encabezado"/>
    <w:uiPriority w:val="99"/>
    <w:rsid w:val="000B2C7C"/>
    <w:rPr>
      <w:lang w:val="en-US" w:eastAsia="en-US"/>
    </w:rPr>
  </w:style>
  <w:style w:type="table" w:styleId="Tablaconcuadrcula">
    <w:name w:val="Table Grid"/>
    <w:basedOn w:val="Tablanormal"/>
    <w:uiPriority w:val="59"/>
    <w:rsid w:val="00C84A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olumnas4">
    <w:name w:val="Table Columns 4"/>
    <w:basedOn w:val="Tablanormal"/>
    <w:rsid w:val="0090653B"/>
    <w:pPr>
      <w:autoSpaceDE w:val="0"/>
      <w:autoSpaceDN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profesional">
    <w:name w:val="Table Professional"/>
    <w:basedOn w:val="Tablanormal"/>
    <w:rsid w:val="0090653B"/>
    <w:pPr>
      <w:autoSpaceDE w:val="0"/>
      <w:autoSpaceDN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Cuadrculamedia31">
    <w:name w:val="Cuadrícula media 31"/>
    <w:basedOn w:val="Tablanormal"/>
    <w:uiPriority w:val="60"/>
    <w:rsid w:val="0090653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Refdecomentario">
    <w:name w:val="annotation reference"/>
    <w:rsid w:val="0019707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9707D"/>
  </w:style>
  <w:style w:type="character" w:customStyle="1" w:styleId="TextocomentarioCar">
    <w:name w:val="Texto comentario Car"/>
    <w:link w:val="Textocomentario"/>
    <w:rsid w:val="0019707D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9707D"/>
    <w:rPr>
      <w:b/>
      <w:bCs/>
    </w:rPr>
  </w:style>
  <w:style w:type="character" w:customStyle="1" w:styleId="AsuntodelcomentarioCar">
    <w:name w:val="Asunto del comentario Car"/>
    <w:link w:val="Asuntodelcomentario"/>
    <w:rsid w:val="0019707D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3E4FB1"/>
    <w:pPr>
      <w:autoSpaceDE/>
      <w:autoSpaceDN/>
      <w:spacing w:before="100" w:beforeAutospacing="1" w:after="100" w:afterAutospacing="1"/>
    </w:pPr>
    <w:rPr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zhang.SDSMT\Desktop\ieeeletter_new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urso%20Investigaci&#243;n\ELISA\elisa%20la%20salle%20(Recuperado)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urso%20Investigaci&#243;n\ELISA\elisa%20la%20salle%20(Recuperado)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urso%20Investigaci&#243;n\ELISA\elisa%20la%20salle%20(Recuperado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urso%20Investigaci&#243;n\ELISA\elisa%20la%20salle%20(Recuperado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Ratones!$G$26</c:f>
              <c:strCache>
                <c:ptCount val="1"/>
                <c:pt idx="0">
                  <c:v>Previo al tratamiento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Ratones!$AA$7:$AC$7</c:f>
                <c:numCache>
                  <c:formatCode>General</c:formatCode>
                  <c:ptCount val="3"/>
                  <c:pt idx="0">
                    <c:v>19.915053979339319</c:v>
                  </c:pt>
                  <c:pt idx="1">
                    <c:v>11.5974135047432</c:v>
                  </c:pt>
                  <c:pt idx="2">
                    <c:v>21.088726253617079</c:v>
                  </c:pt>
                </c:numCache>
              </c:numRef>
            </c:plus>
            <c:minus>
              <c:numRef>
                <c:f>Ratones!$AA$7:$AC$7</c:f>
                <c:numCache>
                  <c:formatCode>General</c:formatCode>
                  <c:ptCount val="3"/>
                  <c:pt idx="0">
                    <c:v>19.915053979339319</c:v>
                  </c:pt>
                  <c:pt idx="1">
                    <c:v>11.5974135047432</c:v>
                  </c:pt>
                  <c:pt idx="2">
                    <c:v>21.088726253617079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Ratones!$F$27:$F$29</c:f>
              <c:strCache>
                <c:ptCount val="3"/>
                <c:pt idx="0">
                  <c:v>ST</c:v>
                </c:pt>
                <c:pt idx="1">
                  <c:v>SSI</c:v>
                </c:pt>
                <c:pt idx="2">
                  <c:v>LPS</c:v>
                </c:pt>
              </c:strCache>
            </c:strRef>
          </c:cat>
          <c:val>
            <c:numRef>
              <c:f>Ratones!$G$27:$G$29</c:f>
              <c:numCache>
                <c:formatCode>0.000</c:formatCode>
                <c:ptCount val="3"/>
                <c:pt idx="0">
                  <c:v>44.875</c:v>
                </c:pt>
                <c:pt idx="1">
                  <c:v>27</c:v>
                </c:pt>
                <c:pt idx="2">
                  <c:v>36.375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9F-444F-897A-6AF9C3685708}"/>
            </c:ext>
          </c:extLst>
        </c:ser>
        <c:ser>
          <c:idx val="1"/>
          <c:order val="1"/>
          <c:tx>
            <c:strRef>
              <c:f>Ratones!$H$26</c:f>
              <c:strCache>
                <c:ptCount val="1"/>
                <c:pt idx="0">
                  <c:v>Posterior al tratamiento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Ratones!$AA$8:$AC$8</c:f>
                <c:numCache>
                  <c:formatCode>General</c:formatCode>
                  <c:ptCount val="3"/>
                  <c:pt idx="0">
                    <c:v>17.217360424873501</c:v>
                  </c:pt>
                  <c:pt idx="1">
                    <c:v>9.2601295887260697</c:v>
                  </c:pt>
                  <c:pt idx="2">
                    <c:v>5.6069153730014447</c:v>
                  </c:pt>
                </c:numCache>
              </c:numRef>
            </c:plus>
            <c:minus>
              <c:numRef>
                <c:f>Ratones!$AA$8:$AC$8</c:f>
                <c:numCache>
                  <c:formatCode>General</c:formatCode>
                  <c:ptCount val="3"/>
                  <c:pt idx="0">
                    <c:v>17.217360424873501</c:v>
                  </c:pt>
                  <c:pt idx="1">
                    <c:v>9.2601295887260697</c:v>
                  </c:pt>
                  <c:pt idx="2">
                    <c:v>5.6069153730014447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Ratones!$F$27:$F$29</c:f>
              <c:strCache>
                <c:ptCount val="3"/>
                <c:pt idx="0">
                  <c:v>ST</c:v>
                </c:pt>
                <c:pt idx="1">
                  <c:v>SSI</c:v>
                </c:pt>
                <c:pt idx="2">
                  <c:v>LPS</c:v>
                </c:pt>
              </c:strCache>
            </c:strRef>
          </c:cat>
          <c:val>
            <c:numRef>
              <c:f>Ratones!$H$27:$H$29</c:f>
              <c:numCache>
                <c:formatCode>0.000</c:formatCode>
                <c:ptCount val="3"/>
                <c:pt idx="0">
                  <c:v>35.75</c:v>
                </c:pt>
                <c:pt idx="1">
                  <c:v>34.625</c:v>
                </c:pt>
                <c:pt idx="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99F-444F-897A-6AF9C36857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57066656"/>
        <c:axId val="-136763072"/>
      </c:barChart>
      <c:catAx>
        <c:axId val="-57066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36763072"/>
        <c:crosses val="autoZero"/>
        <c:auto val="1"/>
        <c:lblAlgn val="ctr"/>
        <c:lblOffset val="100"/>
        <c:noMultiLvlLbl val="0"/>
      </c:catAx>
      <c:valAx>
        <c:axId val="-136763072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Desplazamientos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57066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Suero</c:v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'Resultados Finales'!$E$56:$E$58</c:f>
                <c:numCache>
                  <c:formatCode>General</c:formatCode>
                  <c:ptCount val="3"/>
                  <c:pt idx="0">
                    <c:v>0</c:v>
                  </c:pt>
                  <c:pt idx="1">
                    <c:v>0</c:v>
                  </c:pt>
                  <c:pt idx="2">
                    <c:v>132.42272645546731</c:v>
                  </c:pt>
                </c:numCache>
              </c:numRef>
            </c:plus>
            <c:minus>
              <c:numRef>
                <c:f>'Resultados Finales'!$E$56:$E$58</c:f>
                <c:numCache>
                  <c:formatCode>General</c:formatCode>
                  <c:ptCount val="3"/>
                  <c:pt idx="0">
                    <c:v>0</c:v>
                  </c:pt>
                  <c:pt idx="1">
                    <c:v>0</c:v>
                  </c:pt>
                  <c:pt idx="2">
                    <c:v>132.42272645546731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'Resultados Finales'!$C$56:$C$58</c:f>
              <c:strCache>
                <c:ptCount val="3"/>
                <c:pt idx="0">
                  <c:v>ST</c:v>
                </c:pt>
                <c:pt idx="1">
                  <c:v>SSI</c:v>
                </c:pt>
                <c:pt idx="2">
                  <c:v>LPS</c:v>
                </c:pt>
              </c:strCache>
            </c:strRef>
          </c:cat>
          <c:val>
            <c:numRef>
              <c:f>'Resultados Finales'!$D$56:$D$58</c:f>
              <c:numCache>
                <c:formatCode>0.000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184.4978757680145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E5-4289-8EFD-D05E3190DD33}"/>
            </c:ext>
          </c:extLst>
        </c:ser>
        <c:ser>
          <c:idx val="1"/>
          <c:order val="1"/>
          <c:tx>
            <c:v>Cerebro</c:v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'Resultados Finales'!$E$61:$E$63</c:f>
                <c:numCache>
                  <c:formatCode>General</c:formatCode>
                  <c:ptCount val="3"/>
                  <c:pt idx="0">
                    <c:v>0</c:v>
                  </c:pt>
                  <c:pt idx="1">
                    <c:v>0</c:v>
                  </c:pt>
                  <c:pt idx="2">
                    <c:v>13.308258019379419</c:v>
                  </c:pt>
                </c:numCache>
              </c:numRef>
            </c:plus>
            <c:minus>
              <c:numRef>
                <c:f>'Resultados Finales'!$E$61:$E$63</c:f>
                <c:numCache>
                  <c:formatCode>General</c:formatCode>
                  <c:ptCount val="3"/>
                  <c:pt idx="0">
                    <c:v>0</c:v>
                  </c:pt>
                  <c:pt idx="1">
                    <c:v>0</c:v>
                  </c:pt>
                  <c:pt idx="2">
                    <c:v>13.308258019379419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'Resultados Finales'!$D$61:$D$63</c:f>
              <c:numCache>
                <c:formatCode>0.000</c:formatCode>
                <c:ptCount val="3"/>
                <c:pt idx="0">
                  <c:v>0</c:v>
                </c:pt>
                <c:pt idx="1">
                  <c:v>0</c:v>
                </c:pt>
                <c:pt idx="2">
                  <c:v>9.7885737780527453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8E5-4289-8EFD-D05E3190DD33}"/>
            </c:ext>
          </c:extLst>
        </c:ser>
        <c:ser>
          <c:idx val="2"/>
          <c:order val="2"/>
          <c:tx>
            <c:v>Bazo</c:v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'Resultados Finales'!$E$66:$E$68</c:f>
                <c:numCache>
                  <c:formatCode>General</c:formatCode>
                  <c:ptCount val="3"/>
                  <c:pt idx="0">
                    <c:v>13.002794949529701</c:v>
                  </c:pt>
                  <c:pt idx="1">
                    <c:v>0</c:v>
                  </c:pt>
                  <c:pt idx="2">
                    <c:v>9.7263321635944724</c:v>
                  </c:pt>
                </c:numCache>
              </c:numRef>
            </c:plus>
            <c:minus>
              <c:numRef>
                <c:f>'Resultados Finales'!$E$66:$E$68</c:f>
                <c:numCache>
                  <c:formatCode>General</c:formatCode>
                  <c:ptCount val="3"/>
                  <c:pt idx="0">
                    <c:v>13.002794949529701</c:v>
                  </c:pt>
                  <c:pt idx="1">
                    <c:v>0</c:v>
                  </c:pt>
                  <c:pt idx="2">
                    <c:v>9.7263321635944724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'Resultados Finales'!$D$66:$D$68</c:f>
              <c:numCache>
                <c:formatCode>0.000</c:formatCode>
                <c:ptCount val="3"/>
                <c:pt idx="0">
                  <c:v>9.7187523795335302</c:v>
                </c:pt>
                <c:pt idx="1">
                  <c:v>0</c:v>
                </c:pt>
                <c:pt idx="2">
                  <c:v>30.506781333875281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8E5-4289-8EFD-D05E3190DD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57054400"/>
        <c:axId val="-57050208"/>
      </c:barChart>
      <c:catAx>
        <c:axId val="-57054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57050208"/>
        <c:crosses val="autoZero"/>
        <c:auto val="1"/>
        <c:lblAlgn val="ctr"/>
        <c:lblOffset val="100"/>
        <c:noMultiLvlLbl val="0"/>
      </c:catAx>
      <c:valAx>
        <c:axId val="-57050208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pg/mL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570544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Suero</c:v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'Resultados Finales'!$E$71:$E$73</c:f>
                <c:numCache>
                  <c:formatCode>General</c:formatCode>
                  <c:ptCount val="3"/>
                  <c:pt idx="0">
                    <c:v>27.77977403535132</c:v>
                  </c:pt>
                  <c:pt idx="1">
                    <c:v>39.718176806252139</c:v>
                  </c:pt>
                  <c:pt idx="2">
                    <c:v>36.910514870293092</c:v>
                  </c:pt>
                </c:numCache>
              </c:numRef>
            </c:plus>
            <c:minus>
              <c:numRef>
                <c:f>'Resultados Finales'!$E$71:$E$73</c:f>
                <c:numCache>
                  <c:formatCode>General</c:formatCode>
                  <c:ptCount val="3"/>
                  <c:pt idx="0">
                    <c:v>27.77977403535132</c:v>
                  </c:pt>
                  <c:pt idx="1">
                    <c:v>39.718176806252139</c:v>
                  </c:pt>
                  <c:pt idx="2">
                    <c:v>36.910514870293092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'Resultados Finales'!$C$71:$C$73</c:f>
              <c:strCache>
                <c:ptCount val="3"/>
                <c:pt idx="0">
                  <c:v>ST</c:v>
                </c:pt>
                <c:pt idx="1">
                  <c:v>SSI</c:v>
                </c:pt>
                <c:pt idx="2">
                  <c:v>LPS</c:v>
                </c:pt>
              </c:strCache>
            </c:strRef>
          </c:cat>
          <c:val>
            <c:numRef>
              <c:f>'Resultados Finales'!$D$71:$D$73</c:f>
              <c:numCache>
                <c:formatCode>0.000</c:formatCode>
                <c:ptCount val="3"/>
                <c:pt idx="0">
                  <c:v>42.332631230482178</c:v>
                </c:pt>
                <c:pt idx="1">
                  <c:v>49.455170442561197</c:v>
                </c:pt>
                <c:pt idx="2">
                  <c:v>74.261255284629598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4FB-4944-9762-2E3D6503E576}"/>
            </c:ext>
          </c:extLst>
        </c:ser>
        <c:ser>
          <c:idx val="1"/>
          <c:order val="1"/>
          <c:tx>
            <c:v>Cerebro</c:v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'Resultados Finales'!$E$76:$E$78</c:f>
                <c:numCache>
                  <c:formatCode>General</c:formatCode>
                  <c:ptCount val="3"/>
                  <c:pt idx="0">
                    <c:v>11.240724707276369</c:v>
                  </c:pt>
                  <c:pt idx="1">
                    <c:v>18.5947327892912</c:v>
                  </c:pt>
                  <c:pt idx="2">
                    <c:v>6.7291532133981704</c:v>
                  </c:pt>
                </c:numCache>
              </c:numRef>
            </c:plus>
            <c:minus>
              <c:numRef>
                <c:f>'Resultados Finales'!$E$76:$E$78</c:f>
                <c:numCache>
                  <c:formatCode>General</c:formatCode>
                  <c:ptCount val="3"/>
                  <c:pt idx="0">
                    <c:v>11.240724707276369</c:v>
                  </c:pt>
                  <c:pt idx="1">
                    <c:v>18.5947327892912</c:v>
                  </c:pt>
                  <c:pt idx="2">
                    <c:v>6.7291532133981704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'Resultados Finales'!$D$76:$D$78</c:f>
              <c:numCache>
                <c:formatCode>0.000</c:formatCode>
                <c:ptCount val="3"/>
                <c:pt idx="0">
                  <c:v>67.875530473800012</c:v>
                </c:pt>
                <c:pt idx="1">
                  <c:v>81.629399297125076</c:v>
                </c:pt>
                <c:pt idx="2">
                  <c:v>73.278836082963423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4FB-4944-9762-2E3D6503E576}"/>
            </c:ext>
          </c:extLst>
        </c:ser>
        <c:ser>
          <c:idx val="2"/>
          <c:order val="2"/>
          <c:tx>
            <c:v>Bazo</c:v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'Resultados Finales'!$E$81:$E$83</c:f>
                <c:numCache>
                  <c:formatCode>General</c:formatCode>
                  <c:ptCount val="3"/>
                  <c:pt idx="0">
                    <c:v>96.698449567197002</c:v>
                  </c:pt>
                  <c:pt idx="1">
                    <c:v>21.291542335413279</c:v>
                  </c:pt>
                  <c:pt idx="2">
                    <c:v>278.79192199893049</c:v>
                  </c:pt>
                </c:numCache>
              </c:numRef>
            </c:plus>
            <c:minus>
              <c:numRef>
                <c:f>'Resultados Finales'!$E$81:$E$83</c:f>
                <c:numCache>
                  <c:formatCode>General</c:formatCode>
                  <c:ptCount val="3"/>
                  <c:pt idx="0">
                    <c:v>96.698449567197002</c:v>
                  </c:pt>
                  <c:pt idx="1">
                    <c:v>21.291542335413279</c:v>
                  </c:pt>
                  <c:pt idx="2">
                    <c:v>278.79192199893049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'Resultados Finales'!$D$81:$D$83</c:f>
              <c:numCache>
                <c:formatCode>0.000</c:formatCode>
                <c:ptCount val="3"/>
                <c:pt idx="0">
                  <c:v>172.5031754512369</c:v>
                </c:pt>
                <c:pt idx="1">
                  <c:v>60.458265501221192</c:v>
                </c:pt>
                <c:pt idx="2">
                  <c:v>294.56876125824658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4FB-4944-9762-2E3D6503E5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56960416"/>
        <c:axId val="-68553792"/>
      </c:barChart>
      <c:catAx>
        <c:axId val="-56960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68553792"/>
        <c:crosses val="autoZero"/>
        <c:auto val="1"/>
        <c:lblAlgn val="ctr"/>
        <c:lblOffset val="100"/>
        <c:noMultiLvlLbl val="0"/>
      </c:catAx>
      <c:valAx>
        <c:axId val="-68553792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pg/mL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56960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Suero</c:v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'Resultados Finales'!$E$86:$E$88</c:f>
                <c:numCache>
                  <c:formatCode>General</c:formatCode>
                  <c:ptCount val="3"/>
                  <c:pt idx="0">
                    <c:v>8.7236460231688007</c:v>
                  </c:pt>
                  <c:pt idx="1">
                    <c:v>12.094286096031</c:v>
                  </c:pt>
                  <c:pt idx="2">
                    <c:v>1391.4917202876611</c:v>
                  </c:pt>
                </c:numCache>
              </c:numRef>
            </c:plus>
            <c:minus>
              <c:numRef>
                <c:f>'Resultados Finales'!$E$86:$E$88</c:f>
                <c:numCache>
                  <c:formatCode>General</c:formatCode>
                  <c:ptCount val="3"/>
                  <c:pt idx="0">
                    <c:v>8.7236460231688007</c:v>
                  </c:pt>
                  <c:pt idx="1">
                    <c:v>12.094286096031</c:v>
                  </c:pt>
                  <c:pt idx="2">
                    <c:v>1391.4917202876611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'Resultados Finales'!$C$86:$C$88</c:f>
              <c:strCache>
                <c:ptCount val="3"/>
                <c:pt idx="0">
                  <c:v>ST</c:v>
                </c:pt>
                <c:pt idx="1">
                  <c:v>SSI</c:v>
                </c:pt>
                <c:pt idx="2">
                  <c:v>LPS</c:v>
                </c:pt>
              </c:strCache>
            </c:strRef>
          </c:cat>
          <c:val>
            <c:numRef>
              <c:f>'Resultados Finales'!$D$86:$D$88</c:f>
              <c:numCache>
                <c:formatCode>0.000</c:formatCode>
                <c:ptCount val="3"/>
                <c:pt idx="0">
                  <c:v>14.79338902199409</c:v>
                </c:pt>
                <c:pt idx="1">
                  <c:v>27.394475471725219</c:v>
                </c:pt>
                <c:pt idx="2">
                  <c:v>1198.328016149831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95-4E5A-94A4-D97B436B6F52}"/>
            </c:ext>
          </c:extLst>
        </c:ser>
        <c:ser>
          <c:idx val="1"/>
          <c:order val="1"/>
          <c:tx>
            <c:v>Cerebro</c:v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'Resultados Finales'!$E$91:$E$93</c:f>
                <c:numCache>
                  <c:formatCode>General</c:formatCode>
                  <c:ptCount val="3"/>
                  <c:pt idx="0">
                    <c:v>4.6401829213196466</c:v>
                  </c:pt>
                  <c:pt idx="1">
                    <c:v>1574.666542977129</c:v>
                  </c:pt>
                  <c:pt idx="2">
                    <c:v>1473.3067148539869</c:v>
                  </c:pt>
                </c:numCache>
              </c:numRef>
            </c:plus>
            <c:minus>
              <c:numRef>
                <c:f>'Resultados Finales'!$E$91:$E$93</c:f>
                <c:numCache>
                  <c:formatCode>General</c:formatCode>
                  <c:ptCount val="3"/>
                  <c:pt idx="0">
                    <c:v>4.6401829213196466</c:v>
                  </c:pt>
                  <c:pt idx="1">
                    <c:v>1574.666542977129</c:v>
                  </c:pt>
                  <c:pt idx="2">
                    <c:v>1473.3067148539869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'Resultados Finales'!$D$91:$D$93</c:f>
              <c:numCache>
                <c:formatCode>0.000</c:formatCode>
                <c:ptCount val="3"/>
                <c:pt idx="0">
                  <c:v>11.253757996788719</c:v>
                </c:pt>
                <c:pt idx="1">
                  <c:v>805.19299695035409</c:v>
                </c:pt>
                <c:pt idx="2">
                  <c:v>2190.840555617418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195-4E5A-94A4-D97B436B6F52}"/>
            </c:ext>
          </c:extLst>
        </c:ser>
        <c:ser>
          <c:idx val="2"/>
          <c:order val="2"/>
          <c:tx>
            <c:v>Bazo</c:v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'Resultados Finales'!$E$91:$E$93</c:f>
                <c:numCache>
                  <c:formatCode>General</c:formatCode>
                  <c:ptCount val="3"/>
                  <c:pt idx="0">
                    <c:v>4.6401829213196466</c:v>
                  </c:pt>
                  <c:pt idx="1">
                    <c:v>1574.666542977129</c:v>
                  </c:pt>
                  <c:pt idx="2">
                    <c:v>1473.3067148539869</c:v>
                  </c:pt>
                </c:numCache>
              </c:numRef>
            </c:plus>
            <c:minus>
              <c:numRef>
                <c:f>'Resultados Finales'!$E$96:$E$98</c:f>
                <c:numCache>
                  <c:formatCode>General</c:formatCode>
                  <c:ptCount val="3"/>
                  <c:pt idx="0">
                    <c:v>40.667036127843538</c:v>
                  </c:pt>
                  <c:pt idx="1">
                    <c:v>44.055286668916843</c:v>
                  </c:pt>
                  <c:pt idx="2">
                    <c:v>1659.6990862833391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'Resultados Finales'!$D$96:$D$98</c:f>
              <c:numCache>
                <c:formatCode>0.000</c:formatCode>
                <c:ptCount val="3"/>
                <c:pt idx="0">
                  <c:v>72.961325536202423</c:v>
                </c:pt>
                <c:pt idx="1">
                  <c:v>43.252022464645293</c:v>
                </c:pt>
                <c:pt idx="2">
                  <c:v>856.51764681583165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195-4E5A-94A4-D97B436B6F5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73389136"/>
        <c:axId val="-72184848"/>
      </c:barChart>
      <c:catAx>
        <c:axId val="-73389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72184848"/>
        <c:crosses val="autoZero"/>
        <c:auto val="1"/>
        <c:lblAlgn val="ctr"/>
        <c:lblOffset val="100"/>
        <c:noMultiLvlLbl val="0"/>
      </c:catAx>
      <c:valAx>
        <c:axId val="-72184848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pg/mL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73389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0.59375</cdr:x>
      <cdr:y>0.53743</cdr:y>
    </cdr:from>
    <cdr:to>
      <cdr:x>0.67992</cdr:x>
      <cdr:y>0.64991</cdr:y>
    </cdr:to>
    <cdr:sp macro="" textlink="">
      <cdr:nvSpPr>
        <cdr:cNvPr id="5" name="Text Box 1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89676" y="934384"/>
          <a:ext cx="274246" cy="19556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006699"/>
              </a:solidFill>
            </a14:hiddenFill>
          </a:ext>
          <a:ext uri="{91240B29-F687-4F45-9708-019B960494DF}">
            <a14:hiddenLine xmlns:a14="http://schemas.microsoft.com/office/drawing/2010/main" w="25400" algn="ctr">
              <a:solidFill>
                <a:srgbClr val="000000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000000"/>
                </a:outerShdw>
              </a:effectLst>
            </a14:hiddenEffects>
          </a:ext>
        </a:extLst>
      </cdr:spPr>
      <cdr:txBody>
        <a:bodyPr xmlns:a="http://schemas.openxmlformats.org/drawingml/2006/main" vert="horz" wrap="square" lIns="36576" tIns="36576" rIns="36576" bIns="36576" numCol="1" anchor="t" anchorCtr="0" compatLnSpc="1">
          <a:prstTxWarp prst="textNoShape">
            <a:avLst/>
          </a:prstTxWarp>
        </a:bodyPr>
        <a:lstStyle xmlns:a="http://schemas.openxmlformats.org/drawingml/2006/main">
          <a:defPPr>
            <a:defRPr lang="en-US"/>
          </a:defPPr>
          <a:lvl1pPr marL="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lvl="0" indent="0" algn="ctr" defTabSz="914400" rtl="0" eaLnBrk="0" fontAlgn="base" latinLnBrk="0" hangingPunct="0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s-MX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Times New Roman" panose="02020603050405020304" pitchFamily="18" charset="0"/>
            </a:rPr>
            <a:t>*</a:t>
          </a:r>
          <a:endParaRPr kumimoji="0" lang="en-US" altLang="en-US" sz="7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0.41984</cdr:x>
      <cdr:y>0.26261</cdr:y>
    </cdr:from>
    <cdr:to>
      <cdr:x>0.50601</cdr:x>
      <cdr:y>0.37509</cdr:y>
    </cdr:to>
    <cdr:sp macro="" textlink="">
      <cdr:nvSpPr>
        <cdr:cNvPr id="6" name="Text Box 1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36206" y="456582"/>
          <a:ext cx="274247" cy="19556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006699"/>
              </a:solidFill>
            </a14:hiddenFill>
          </a:ext>
          <a:ext uri="{91240B29-F687-4F45-9708-019B960494DF}">
            <a14:hiddenLine xmlns:a14="http://schemas.microsoft.com/office/drawing/2010/main" w="25400" algn="ctr">
              <a:solidFill>
                <a:srgbClr val="000000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000000"/>
                </a:outerShdw>
              </a:effectLst>
            </a14:hiddenEffects>
          </a:ext>
        </a:extLst>
      </cdr:spPr>
      <cdr:txBody>
        <a:bodyPr xmlns:a="http://schemas.openxmlformats.org/drawingml/2006/main" vert="horz" wrap="square" lIns="36576" tIns="36576" rIns="36576" bIns="36576" numCol="1" anchor="t" anchorCtr="0" compatLnSpc="1">
          <a:prstTxWarp prst="textNoShape">
            <a:avLst/>
          </a:prstTxWarp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lvl="0" indent="0" algn="ctr" defTabSz="914400" rtl="0" eaLnBrk="0" fontAlgn="base" latinLnBrk="0" hangingPunct="0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s-MX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Times New Roman" panose="02020603050405020304" pitchFamily="18" charset="0"/>
            </a:rPr>
            <a:t>*</a:t>
          </a:r>
          <a:endParaRPr kumimoji="0" lang="en-US" altLang="en-US" sz="7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0.25178</cdr:x>
      <cdr:y>0.15528</cdr:y>
    </cdr:from>
    <cdr:to>
      <cdr:x>0.33795</cdr:x>
      <cdr:y>0.26776</cdr:y>
    </cdr:to>
    <cdr:sp macro="" textlink="">
      <cdr:nvSpPr>
        <cdr:cNvPr id="7" name="Text Box 1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01312" y="269970"/>
          <a:ext cx="274247" cy="1955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006699"/>
              </a:solidFill>
            </a14:hiddenFill>
          </a:ext>
          <a:ext uri="{91240B29-F687-4F45-9708-019B960494DF}">
            <a14:hiddenLine xmlns:a14="http://schemas.microsoft.com/office/drawing/2010/main" w="25400" algn="ctr">
              <a:solidFill>
                <a:srgbClr val="000000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000000"/>
                </a:outerShdw>
              </a:effectLst>
            </a14:hiddenEffects>
          </a:ext>
        </a:extLst>
      </cdr:spPr>
      <cdr:txBody>
        <a:bodyPr xmlns:a="http://schemas.openxmlformats.org/drawingml/2006/main" vert="horz" wrap="square" lIns="36576" tIns="36576" rIns="36576" bIns="36576" numCol="1" anchor="t" anchorCtr="0" compatLnSpc="1">
          <a:prstTxWarp prst="textNoShape">
            <a:avLst/>
          </a:prstTxWarp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lvl="0" indent="0" algn="ctr" defTabSz="914400" rtl="0" eaLnBrk="0" fontAlgn="base" latinLnBrk="0" hangingPunct="0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r>
            <a:rPr kumimoji="0" lang="es-MX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Times New Roman" panose="02020603050405020304" pitchFamily="18" charset="0"/>
            </a:rPr>
            <a:t>*</a:t>
          </a:r>
          <a:endParaRPr kumimoji="0" lang="en-US" altLang="en-US" sz="7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panose="020B0604020202020204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0.60034</cdr:x>
      <cdr:y>0.11091</cdr:y>
    </cdr:from>
    <cdr:to>
      <cdr:x>0.74615</cdr:x>
      <cdr:y>0.11372</cdr:y>
    </cdr:to>
    <cdr:sp macro="" textlink="">
      <cdr:nvSpPr>
        <cdr:cNvPr id="2" name="Line 12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1910661" y="191069"/>
          <a:ext cx="464050" cy="4846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28575">
          <a:solidFill>
            <a:srgbClr val="4D4D4D"/>
          </a:solidFill>
          <a:round/>
          <a:headEnd/>
          <a:tailEnd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000000"/>
                </a:outerShdw>
              </a:effectLst>
            </a14:hiddenEffects>
          </a:ext>
        </a:extLst>
      </cdr:spPr>
      <cdr:txBody>
        <a:bodyPr xmlns:a="http://schemas.openxmlformats.org/drawingml/2006/main" vert="horz" wrap="square" lIns="36576" tIns="36576" rIns="36576" bIns="36576" numCol="1" anchor="t" anchorCtr="0" compatLnSpc="1">
          <a:prstTxWarp prst="textNoShape">
            <a:avLst/>
          </a:prstTxWarp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en-GB"/>
        </a:p>
      </cdr:txBody>
    </cdr:sp>
  </cdr:relSizeAnchor>
  <cdr:relSizeAnchor xmlns:cdr="http://schemas.openxmlformats.org/drawingml/2006/chartDrawing">
    <cdr:from>
      <cdr:x>0.73372</cdr:x>
      <cdr:y>0.04357</cdr:y>
    </cdr:from>
    <cdr:to>
      <cdr:x>0.81989</cdr:x>
      <cdr:y>0.15709</cdr:y>
    </cdr:to>
    <cdr:sp macro="" textlink="">
      <cdr:nvSpPr>
        <cdr:cNvPr id="3" name="Text Box 1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35147" y="75063"/>
          <a:ext cx="274267" cy="19556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006699"/>
              </a:solidFill>
            </a14:hiddenFill>
          </a:ext>
          <a:ext uri="{91240B29-F687-4F45-9708-019B960494DF}">
            <a14:hiddenLine xmlns:a14="http://schemas.microsoft.com/office/drawing/2010/main" w="25400" algn="ctr">
              <a:solidFill>
                <a:srgbClr val="000000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000000"/>
                </a:outerShdw>
              </a:effectLst>
            </a14:hiddenEffects>
          </a:ext>
        </a:extLst>
      </cdr:spPr>
      <cdr:txBody>
        <a:bodyPr xmlns:a="http://schemas.openxmlformats.org/drawingml/2006/main" vert="horz" wrap="square" lIns="36576" tIns="36576" rIns="36576" bIns="36576" numCol="1" anchor="t" anchorCtr="0" compatLnSpc="1">
          <a:prstTxWarp prst="textNoShape">
            <a:avLst/>
          </a:prstTxWarp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lvl="0" indent="0" algn="ctr" defTabSz="914400" rtl="0" eaLnBrk="0" fontAlgn="base" latinLnBrk="0" hangingPunct="0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  <a:defRPr/>
          </a:pPr>
          <a:r>
            <a:rPr kumimoji="0" lang="es-MX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Times New Roman" panose="02020603050405020304" pitchFamily="18" charset="0"/>
            </a:rPr>
            <a:t>*</a:t>
          </a:r>
          <a:endParaRPr kumimoji="0" lang="en-US" altLang="en-US" sz="2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panose="020B0604020202020204" pitchFamily="34" charset="0"/>
          </a:endParaRPr>
        </a:p>
        <a:p xmlns:a="http://schemas.openxmlformats.org/drawingml/2006/main">
          <a:pPr marL="0" marR="0" lvl="0" indent="0" algn="ctr" defTabSz="914400" rtl="0" eaLnBrk="0" fontAlgn="base" latinLnBrk="0" hangingPunct="0">
            <a:lnSpc>
              <a:spcPct val="100000"/>
            </a:lnSpc>
            <a:spcBef>
              <a:spcPct val="0"/>
            </a:spcBef>
            <a:spcAft>
              <a:spcPct val="0"/>
            </a:spcAft>
            <a:buClrTx/>
            <a:buSzTx/>
            <a:buFontTx/>
            <a:buNone/>
            <a:tabLst/>
          </a:pPr>
          <a:endParaRPr kumimoji="0" lang="en-US" altLang="en-US" sz="700" b="0" i="0" u="none" strike="noStrike" cap="none" normalizeH="0" baseline="0" dirty="0">
            <a:ln>
              <a:noFill/>
            </a:ln>
            <a:solidFill>
              <a:schemeClr val="tx1"/>
            </a:solidFill>
            <a:effectLst/>
            <a:latin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0.76816</cdr:x>
      <cdr:y>0.04462</cdr:y>
    </cdr:from>
    <cdr:to>
      <cdr:x>0.84669</cdr:x>
      <cdr:y>0.21802</cdr:y>
    </cdr:to>
    <cdr:pic>
      <cdr:nvPicPr>
        <cdr:cNvPr id="4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2444762" y="76864"/>
          <a:ext cx="249932" cy="298726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0.60344</cdr:x>
      <cdr:y>0.0713</cdr:y>
    </cdr:from>
    <cdr:to>
      <cdr:x>0.67968</cdr:x>
      <cdr:y>0.07191</cdr:y>
    </cdr:to>
    <cdr:sp macro="" textlink="">
      <cdr:nvSpPr>
        <cdr:cNvPr id="5" name="Line 12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1920519" y="122829"/>
          <a:ext cx="242652" cy="1055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28575">
          <a:solidFill>
            <a:srgbClr val="4D4D4D"/>
          </a:solidFill>
          <a:round/>
          <a:headEnd/>
          <a:tailEnd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000000"/>
                </a:outerShdw>
              </a:effectLst>
            </a14:hiddenEffects>
          </a:ext>
        </a:extLst>
      </cdr:spPr>
      <cdr:txBody>
        <a:bodyPr xmlns:a="http://schemas.openxmlformats.org/drawingml/2006/main" vert="horz" wrap="square" lIns="36576" tIns="36576" rIns="36576" bIns="36576" numCol="1" anchor="t" anchorCtr="0" compatLnSpc="1">
          <a:prstTxWarp prst="textNoShape">
            <a:avLst/>
          </a:prstTxWarp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en-GB"/>
        </a:p>
      </cdr:txBody>
    </cdr:sp>
  </cdr:relSizeAnchor>
  <cdr:relSizeAnchor xmlns:cdr="http://schemas.openxmlformats.org/drawingml/2006/chartDrawing">
    <cdr:from>
      <cdr:x>0.66467</cdr:x>
      <cdr:y>0.00572</cdr:y>
    </cdr:from>
    <cdr:to>
      <cdr:x>0.73853</cdr:x>
      <cdr:y>0.17912</cdr:y>
    </cdr:to>
    <cdr:pic>
      <cdr:nvPicPr>
        <cdr:cNvPr id="6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 flipH="1">
          <a:off x="2115403" y="9856"/>
          <a:ext cx="235044" cy="298730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7C046-5C46-45E3-9A2C-3A416877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ieeeletter_new</Template>
  <TotalTime>65</TotalTime>
  <Pages>5</Pages>
  <Words>3259</Words>
  <Characters>17930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</vt:lpstr>
    </vt:vector>
  </TitlesOfParts>
  <Company>IEEE</Company>
  <LinksUpToDate>false</LinksUpToDate>
  <CharactersWithSpaces>21147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</dc:title>
  <dc:subject>IEEE Transactions on Magnetics</dc:subject>
  <dc:creator>nzhang</dc:creator>
  <cp:lastModifiedBy>Miguel Tapia</cp:lastModifiedBy>
  <cp:revision>34</cp:revision>
  <cp:lastPrinted>2016-10-07T21:01:00Z</cp:lastPrinted>
  <dcterms:created xsi:type="dcterms:W3CDTF">2016-10-09T15:40:00Z</dcterms:created>
  <dcterms:modified xsi:type="dcterms:W3CDTF">2016-10-09T21:45:00Z</dcterms:modified>
</cp:coreProperties>
</file>